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3D4D" w14:textId="77777777" w:rsidR="00144391" w:rsidRDefault="00144391" w:rsidP="00ED6278">
      <w:pPr>
        <w:pStyle w:val="Brdtekst"/>
        <w:spacing w:before="2"/>
      </w:pPr>
    </w:p>
    <w:p w14:paraId="78574E5E" w14:textId="77777777" w:rsidR="00144391" w:rsidRDefault="00144391" w:rsidP="00ED6278">
      <w:pPr>
        <w:pStyle w:val="Brdtekst"/>
        <w:spacing w:before="2"/>
      </w:pPr>
    </w:p>
    <w:p w14:paraId="1C23CCC6" w14:textId="77777777" w:rsidR="00144391" w:rsidRDefault="00144391" w:rsidP="00ED6278">
      <w:pPr>
        <w:pStyle w:val="Brdtekst"/>
        <w:spacing w:before="2"/>
      </w:pPr>
    </w:p>
    <w:p w14:paraId="7DEA6F98" w14:textId="77777777" w:rsidR="00144391" w:rsidRDefault="00144391" w:rsidP="00ED6278">
      <w:pPr>
        <w:pStyle w:val="Brdtekst"/>
        <w:spacing w:before="2"/>
      </w:pPr>
    </w:p>
    <w:p w14:paraId="0A5C7F88" w14:textId="77777777" w:rsidR="00144391" w:rsidRDefault="00144391" w:rsidP="00ED6278">
      <w:pPr>
        <w:pStyle w:val="Brdtekst"/>
        <w:spacing w:before="2"/>
      </w:pPr>
    </w:p>
    <w:p w14:paraId="0D4E421D" w14:textId="77777777" w:rsidR="00144391" w:rsidRDefault="00144391" w:rsidP="00ED6278">
      <w:pPr>
        <w:pStyle w:val="Brdtekst"/>
        <w:spacing w:before="2"/>
      </w:pPr>
    </w:p>
    <w:p w14:paraId="6DFEE099" w14:textId="77777777" w:rsidR="00144391" w:rsidRDefault="00144391" w:rsidP="00ED6278">
      <w:pPr>
        <w:pStyle w:val="Brdtekst"/>
        <w:spacing w:before="2"/>
      </w:pPr>
    </w:p>
    <w:p w14:paraId="71EA2C1C" w14:textId="77777777" w:rsidR="00144391" w:rsidRDefault="00144391" w:rsidP="00ED6278">
      <w:pPr>
        <w:pStyle w:val="Brdtekst"/>
        <w:spacing w:before="2"/>
      </w:pPr>
    </w:p>
    <w:p w14:paraId="241396BA" w14:textId="77777777" w:rsidR="00144391" w:rsidRDefault="00144391" w:rsidP="00ED6278">
      <w:pPr>
        <w:pStyle w:val="Brdtekst"/>
        <w:spacing w:before="2"/>
      </w:pPr>
    </w:p>
    <w:p w14:paraId="33B3D466" w14:textId="77777777" w:rsidR="00144391" w:rsidRDefault="00144391" w:rsidP="00ED6278">
      <w:pPr>
        <w:pStyle w:val="Brdtekst"/>
        <w:spacing w:before="2"/>
      </w:pPr>
    </w:p>
    <w:p w14:paraId="2A3FC452" w14:textId="77777777" w:rsidR="00144391" w:rsidRDefault="00144391" w:rsidP="00ED6278">
      <w:pPr>
        <w:pStyle w:val="Brdtekst"/>
        <w:spacing w:before="2"/>
      </w:pPr>
    </w:p>
    <w:p w14:paraId="27C249BE" w14:textId="77777777" w:rsidR="00144391" w:rsidRDefault="00144391" w:rsidP="00ED6278">
      <w:pPr>
        <w:pStyle w:val="Brdtekst"/>
        <w:spacing w:before="2"/>
      </w:pPr>
    </w:p>
    <w:p w14:paraId="38405CCE" w14:textId="77777777" w:rsidR="00144391" w:rsidRDefault="00144391" w:rsidP="00ED6278">
      <w:pPr>
        <w:pStyle w:val="Brdtekst"/>
        <w:spacing w:before="2"/>
      </w:pPr>
    </w:p>
    <w:p w14:paraId="48B8DEEF" w14:textId="77777777" w:rsidR="00144391" w:rsidRDefault="00144391" w:rsidP="00ED6278">
      <w:pPr>
        <w:pStyle w:val="Brdtekst"/>
        <w:spacing w:before="2"/>
      </w:pPr>
    </w:p>
    <w:p w14:paraId="6DD70783" w14:textId="77777777" w:rsidR="00144391" w:rsidRDefault="00144391" w:rsidP="00ED6278">
      <w:pPr>
        <w:pStyle w:val="Brdtekst"/>
        <w:spacing w:before="2"/>
        <w:rPr>
          <w:rFonts w:ascii="Times New Roman"/>
          <w:noProof/>
          <w:sz w:val="20"/>
        </w:rPr>
      </w:pPr>
      <w:r>
        <w:rPr>
          <w:rFonts w:ascii="Times New Roman"/>
          <w:noProof/>
          <w:sz w:val="20"/>
        </w:rPr>
        <w:drawing>
          <wp:inline distT="0" distB="0" distL="0" distR="0" wp14:anchorId="249F7F9D" wp14:editId="25C00C51">
            <wp:extent cx="5630613" cy="2753833"/>
            <wp:effectExtent l="0" t="0" r="8255" b="8890"/>
            <wp:docPr id="1" name="image1.jpeg"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ap&#10;&#10;Description automatically generated with low confidence"/>
                    <pic:cNvPicPr/>
                  </pic:nvPicPr>
                  <pic:blipFill>
                    <a:blip r:embed="rId7" cstate="print"/>
                    <a:stretch>
                      <a:fillRect/>
                    </a:stretch>
                  </pic:blipFill>
                  <pic:spPr>
                    <a:xfrm>
                      <a:off x="0" y="0"/>
                      <a:ext cx="5658388" cy="2767417"/>
                    </a:xfrm>
                    <a:prstGeom prst="rect">
                      <a:avLst/>
                    </a:prstGeom>
                  </pic:spPr>
                </pic:pic>
              </a:graphicData>
            </a:graphic>
          </wp:inline>
        </w:drawing>
      </w:r>
    </w:p>
    <w:p w14:paraId="01BADE3A" w14:textId="77777777" w:rsidR="00144391" w:rsidRPr="00144391" w:rsidRDefault="00144391" w:rsidP="00144391">
      <w:pPr>
        <w:rPr>
          <w:lang w:val="nb" w:eastAsia="nb" w:bidi="nb"/>
        </w:rPr>
      </w:pPr>
    </w:p>
    <w:p w14:paraId="4F4A7955" w14:textId="56AF7DB4" w:rsidR="006056C2" w:rsidRDefault="006056C2" w:rsidP="006056C2">
      <w:pPr>
        <w:pStyle w:val="TableParagraph"/>
        <w:spacing w:before="145"/>
        <w:ind w:right="2061"/>
        <w:rPr>
          <w:rFonts w:ascii="Calibri Light"/>
          <w:sz w:val="56"/>
        </w:rPr>
      </w:pPr>
      <w:r>
        <w:rPr>
          <w:rFonts w:ascii="Calibri Light"/>
          <w:sz w:val="56"/>
        </w:rPr>
        <w:t xml:space="preserve">EQUALITY, </w:t>
      </w:r>
      <w:proofErr w:type="gramStart"/>
      <w:r>
        <w:rPr>
          <w:rFonts w:ascii="Calibri Light"/>
          <w:sz w:val="56"/>
        </w:rPr>
        <w:t>DIVERSITY</w:t>
      </w:r>
      <w:proofErr w:type="gramEnd"/>
      <w:r>
        <w:rPr>
          <w:rFonts w:ascii="Calibri Light"/>
          <w:sz w:val="56"/>
        </w:rPr>
        <w:t xml:space="preserve"> AND INCLUSION</w:t>
      </w:r>
    </w:p>
    <w:p w14:paraId="41A84B84" w14:textId="75984FC0" w:rsidR="006056C2" w:rsidRDefault="006056C2" w:rsidP="006056C2">
      <w:pPr>
        <w:pStyle w:val="Brdtekst"/>
        <w:tabs>
          <w:tab w:val="left" w:pos="2495"/>
        </w:tabs>
        <w:spacing w:before="2"/>
        <w:rPr>
          <w:color w:val="5A5A5A"/>
          <w:sz w:val="28"/>
        </w:rPr>
      </w:pPr>
      <w:r>
        <w:rPr>
          <w:color w:val="5A5A5A"/>
          <w:sz w:val="28"/>
        </w:rPr>
        <w:t>At NMBU</w:t>
      </w:r>
    </w:p>
    <w:p w14:paraId="6AE6699E" w14:textId="77777777" w:rsidR="00393DD4" w:rsidRDefault="00393DD4" w:rsidP="00393DD4">
      <w:pPr>
        <w:pStyle w:val="TableParagraph"/>
        <w:spacing w:before="271"/>
        <w:rPr>
          <w:color w:val="1F3863"/>
          <w:sz w:val="32"/>
        </w:rPr>
      </w:pPr>
    </w:p>
    <w:p w14:paraId="0B886AB5" w14:textId="7FC60623" w:rsidR="00393DD4" w:rsidRPr="00393DD4" w:rsidRDefault="00393DD4" w:rsidP="00393DD4">
      <w:pPr>
        <w:pStyle w:val="TableParagraph"/>
        <w:spacing w:before="271"/>
        <w:rPr>
          <w:sz w:val="40"/>
          <w:szCs w:val="28"/>
        </w:rPr>
      </w:pPr>
      <w:r>
        <w:rPr>
          <w:color w:val="1F3863"/>
          <w:sz w:val="40"/>
          <w:szCs w:val="28"/>
        </w:rPr>
        <w:t>ACTION PLAN 2022–2025</w:t>
      </w:r>
    </w:p>
    <w:p w14:paraId="3D563D6F" w14:textId="77777777" w:rsidR="00393DD4" w:rsidRPr="001E7C48" w:rsidRDefault="00393DD4" w:rsidP="00393DD4">
      <w:pPr>
        <w:pStyle w:val="TableParagraph"/>
        <w:spacing w:before="267"/>
        <w:rPr>
          <w:sz w:val="28"/>
          <w:szCs w:val="24"/>
        </w:rPr>
      </w:pPr>
      <w:r>
        <w:rPr>
          <w:color w:val="1F3863"/>
          <w:sz w:val="28"/>
          <w:szCs w:val="24"/>
        </w:rPr>
        <w:t>Adopted by the Rector</w:t>
      </w:r>
    </w:p>
    <w:p w14:paraId="0240CFE0" w14:textId="13C1BACC" w:rsidR="006056C2" w:rsidRPr="001E7C48" w:rsidRDefault="00F536AF" w:rsidP="00393DD4">
      <w:pPr>
        <w:pStyle w:val="Brdtekst"/>
        <w:tabs>
          <w:tab w:val="left" w:pos="2495"/>
        </w:tabs>
        <w:spacing w:before="2"/>
        <w:rPr>
          <w:color w:val="5A5A5A"/>
          <w:sz w:val="32"/>
          <w:szCs w:val="24"/>
        </w:rPr>
      </w:pPr>
      <w:r>
        <w:rPr>
          <w:color w:val="44536A"/>
          <w:sz w:val="24"/>
          <w:szCs w:val="24"/>
        </w:rPr>
        <w:t>2 June 2023</w:t>
      </w:r>
    </w:p>
    <w:p w14:paraId="4859E12E" w14:textId="114F59DC" w:rsidR="00ED6278" w:rsidRDefault="00137D76" w:rsidP="00ED6278">
      <w:pPr>
        <w:pStyle w:val="Brdtekst"/>
        <w:spacing w:before="2"/>
        <w:rPr>
          <w:rFonts w:ascii="Times New Roman"/>
          <w:sz w:val="25"/>
        </w:rPr>
      </w:pPr>
      <w:r>
        <w:br w:type="column"/>
      </w:r>
    </w:p>
    <w:p w14:paraId="3B208FC8" w14:textId="77777777" w:rsidR="00ED6278" w:rsidRPr="00EF51F7" w:rsidRDefault="00ED6278" w:rsidP="00ED6278">
      <w:pPr>
        <w:pStyle w:val="Brdtekst"/>
        <w:spacing w:before="2"/>
        <w:rPr>
          <w:rFonts w:ascii="Times New Roman"/>
          <w:b/>
          <w:bCs/>
          <w:sz w:val="32"/>
          <w:szCs w:val="28"/>
        </w:rPr>
      </w:pPr>
      <w:r>
        <w:rPr>
          <w:b/>
          <w:bCs/>
          <w:sz w:val="28"/>
          <w:szCs w:val="28"/>
        </w:rPr>
        <w:t>Version history</w:t>
      </w:r>
    </w:p>
    <w:tbl>
      <w:tblPr>
        <w:tblStyle w:val="Tabellrutenett"/>
        <w:tblpPr w:leftFromText="141" w:rightFromText="141" w:vertAnchor="page" w:horzAnchor="margin" w:tblpY="2238"/>
        <w:tblW w:w="0" w:type="auto"/>
        <w:tblLook w:val="04A0" w:firstRow="1" w:lastRow="0" w:firstColumn="1" w:lastColumn="0" w:noHBand="0" w:noVBand="1"/>
      </w:tblPr>
      <w:tblGrid>
        <w:gridCol w:w="3005"/>
        <w:gridCol w:w="3005"/>
        <w:gridCol w:w="3006"/>
      </w:tblGrid>
      <w:tr w:rsidR="00ED6278" w14:paraId="6554ED62" w14:textId="77777777" w:rsidTr="007B253D">
        <w:tc>
          <w:tcPr>
            <w:tcW w:w="3005" w:type="dxa"/>
            <w:shd w:val="clear" w:color="auto" w:fill="009A81"/>
          </w:tcPr>
          <w:p w14:paraId="6B38BEF9" w14:textId="77777777" w:rsidR="00ED6278" w:rsidRDefault="00ED6278" w:rsidP="007B253D">
            <w:pPr>
              <w:spacing w:before="43"/>
              <w:rPr>
                <w:b/>
                <w:bCs/>
              </w:rPr>
            </w:pPr>
            <w:r>
              <w:rPr>
                <w:b/>
                <w:color w:val="FFFFFF"/>
              </w:rPr>
              <w:t>Version</w:t>
            </w:r>
          </w:p>
        </w:tc>
        <w:tc>
          <w:tcPr>
            <w:tcW w:w="3005" w:type="dxa"/>
            <w:shd w:val="clear" w:color="auto" w:fill="009A81"/>
          </w:tcPr>
          <w:p w14:paraId="7B03560E" w14:textId="77777777" w:rsidR="00ED6278" w:rsidRDefault="00ED6278" w:rsidP="007B253D">
            <w:pPr>
              <w:spacing w:before="43"/>
              <w:rPr>
                <w:b/>
                <w:bCs/>
              </w:rPr>
            </w:pPr>
            <w:r>
              <w:rPr>
                <w:b/>
                <w:color w:val="FFFFFF"/>
              </w:rPr>
              <w:t>Revision date</w:t>
            </w:r>
          </w:p>
        </w:tc>
        <w:tc>
          <w:tcPr>
            <w:tcW w:w="3006" w:type="dxa"/>
            <w:shd w:val="clear" w:color="auto" w:fill="009A81"/>
          </w:tcPr>
          <w:p w14:paraId="4A09642D" w14:textId="77777777" w:rsidR="00ED6278" w:rsidRDefault="00ED6278" w:rsidP="007B253D">
            <w:pPr>
              <w:spacing w:before="43"/>
              <w:rPr>
                <w:b/>
                <w:bCs/>
              </w:rPr>
            </w:pPr>
            <w:r>
              <w:rPr>
                <w:b/>
                <w:color w:val="FFFFFF"/>
              </w:rPr>
              <w:t>Description of change</w:t>
            </w:r>
          </w:p>
        </w:tc>
      </w:tr>
      <w:tr w:rsidR="00ED6278" w14:paraId="0DBDE7CB" w14:textId="77777777" w:rsidTr="007B253D">
        <w:tc>
          <w:tcPr>
            <w:tcW w:w="3005" w:type="dxa"/>
          </w:tcPr>
          <w:p w14:paraId="0623BD0B" w14:textId="77777777" w:rsidR="00ED6278" w:rsidRPr="0064459A" w:rsidRDefault="00ED6278" w:rsidP="007B253D">
            <w:pPr>
              <w:spacing w:before="43"/>
            </w:pPr>
            <w:r>
              <w:t>1.0</w:t>
            </w:r>
          </w:p>
        </w:tc>
        <w:tc>
          <w:tcPr>
            <w:tcW w:w="3005" w:type="dxa"/>
          </w:tcPr>
          <w:p w14:paraId="24180CD0" w14:textId="77777777" w:rsidR="00ED6278" w:rsidRPr="000A0CF7" w:rsidRDefault="00ED6278" w:rsidP="007B253D">
            <w:pPr>
              <w:spacing w:before="43"/>
            </w:pPr>
            <w:r>
              <w:t>December 2021</w:t>
            </w:r>
          </w:p>
        </w:tc>
        <w:tc>
          <w:tcPr>
            <w:tcW w:w="3006" w:type="dxa"/>
          </w:tcPr>
          <w:p w14:paraId="49B05BC8" w14:textId="77777777" w:rsidR="00ED6278" w:rsidRPr="000A0CF7" w:rsidRDefault="00ED6278" w:rsidP="007B253D">
            <w:pPr>
              <w:spacing w:before="43"/>
            </w:pPr>
            <w:r>
              <w:t>First version</w:t>
            </w:r>
          </w:p>
        </w:tc>
      </w:tr>
      <w:tr w:rsidR="00ED6278" w14:paraId="423A2B61" w14:textId="77777777" w:rsidTr="007B253D">
        <w:tc>
          <w:tcPr>
            <w:tcW w:w="3005" w:type="dxa"/>
          </w:tcPr>
          <w:p w14:paraId="49720BF2" w14:textId="77777777" w:rsidR="00ED6278" w:rsidRPr="0064459A" w:rsidRDefault="00ED6278" w:rsidP="007B253D">
            <w:pPr>
              <w:spacing w:before="43"/>
            </w:pPr>
            <w:r>
              <w:t>2.0</w:t>
            </w:r>
          </w:p>
        </w:tc>
        <w:tc>
          <w:tcPr>
            <w:tcW w:w="3005" w:type="dxa"/>
          </w:tcPr>
          <w:p w14:paraId="37411B68" w14:textId="302325DA" w:rsidR="00ED6278" w:rsidRPr="000A0CF7" w:rsidRDefault="00537B47" w:rsidP="007B253D">
            <w:pPr>
              <w:spacing w:before="43"/>
            </w:pPr>
            <w:r>
              <w:t>May 2023</w:t>
            </w:r>
          </w:p>
        </w:tc>
        <w:tc>
          <w:tcPr>
            <w:tcW w:w="3006" w:type="dxa"/>
          </w:tcPr>
          <w:p w14:paraId="57C52C1D" w14:textId="2EEE617B" w:rsidR="00ED6278" w:rsidRPr="000A0CF7" w:rsidRDefault="001E7C48" w:rsidP="007B253D">
            <w:pPr>
              <w:spacing w:before="43"/>
            </w:pPr>
            <w:r>
              <w:t>Second version</w:t>
            </w:r>
          </w:p>
        </w:tc>
      </w:tr>
    </w:tbl>
    <w:p w14:paraId="4C9EEFB8" w14:textId="77777777" w:rsidR="00ED6278" w:rsidRDefault="00ED6278" w:rsidP="00ED6278">
      <w:pPr>
        <w:spacing w:before="43"/>
        <w:rPr>
          <w:b/>
          <w:bCs/>
        </w:rPr>
      </w:pPr>
    </w:p>
    <w:p w14:paraId="085F4AA0" w14:textId="77777777" w:rsidR="00ED6278" w:rsidRDefault="00ED6278" w:rsidP="00ED6278">
      <w:pPr>
        <w:spacing w:before="43"/>
      </w:pPr>
    </w:p>
    <w:p w14:paraId="4ABE9B5D" w14:textId="77777777" w:rsidR="00ED6278" w:rsidRDefault="00ED6278" w:rsidP="00ED6278">
      <w:r>
        <w:br w:type="page"/>
      </w:r>
    </w:p>
    <w:p w14:paraId="3A6BF3EB" w14:textId="0D5B2451" w:rsidR="00ED6278" w:rsidRDefault="00ED6278" w:rsidP="005B3C33">
      <w:pPr>
        <w:spacing w:before="43"/>
      </w:pPr>
    </w:p>
    <w:p w14:paraId="0BF26C40" w14:textId="218B0CB3" w:rsidR="005B3C33" w:rsidRPr="005B3C33" w:rsidRDefault="005B3C33" w:rsidP="005B3C33">
      <w:pPr>
        <w:spacing w:before="43"/>
        <w:rPr>
          <w:b/>
          <w:sz w:val="28"/>
        </w:rPr>
      </w:pPr>
      <w:r>
        <w:rPr>
          <w:b/>
          <w:sz w:val="28"/>
        </w:rPr>
        <w:t xml:space="preserve">ACTION PLAN FOR EQUALITY, </w:t>
      </w:r>
      <w:proofErr w:type="gramStart"/>
      <w:r>
        <w:rPr>
          <w:b/>
          <w:sz w:val="28"/>
        </w:rPr>
        <w:t>DIVERSITY</w:t>
      </w:r>
      <w:proofErr w:type="gramEnd"/>
      <w:r>
        <w:rPr>
          <w:b/>
          <w:sz w:val="28"/>
        </w:rPr>
        <w:t xml:space="preserve"> AND INCLUSION 2022–2025</w:t>
      </w:r>
    </w:p>
    <w:p w14:paraId="0E7F4394" w14:textId="54924F20" w:rsidR="001950CB" w:rsidRPr="001950CB" w:rsidRDefault="001950CB" w:rsidP="00EA24BA">
      <w:pPr>
        <w:pStyle w:val="Brdtekst"/>
        <w:spacing w:before="172"/>
        <w:rPr>
          <w:b/>
          <w:bCs/>
        </w:rPr>
      </w:pPr>
      <w:r>
        <w:rPr>
          <w:b/>
          <w:bCs/>
        </w:rPr>
        <w:t>Introduction</w:t>
      </w:r>
    </w:p>
    <w:p w14:paraId="2A6E2DDB" w14:textId="77777777" w:rsidR="00D534BA" w:rsidRDefault="001950CB" w:rsidP="00D534BA">
      <w:pPr>
        <w:pStyle w:val="Brdtekst"/>
        <w:spacing w:before="165" w:line="259" w:lineRule="auto"/>
        <w:ind w:right="401"/>
      </w:pPr>
      <w:r>
        <w:t xml:space="preserve">NMBU strives to be an inclusive and diverse university where everyone is valued and has equal opportunities. NMBU should therefore be a university with a safe working and learning environment where there is room for everyone regardless of gender, ethnicity, functional ability, gender identity, gender expression, sexual orientation, socio-economic background, age, </w:t>
      </w:r>
      <w:proofErr w:type="gramStart"/>
      <w:r>
        <w:t>religion</w:t>
      </w:r>
      <w:proofErr w:type="gramEnd"/>
      <w:r>
        <w:t xml:space="preserve"> and life stance. </w:t>
      </w:r>
    </w:p>
    <w:p w14:paraId="3F93D2B8" w14:textId="1C591EB8" w:rsidR="00EA24BA" w:rsidRDefault="001950CB" w:rsidP="00EA24BA">
      <w:pPr>
        <w:pStyle w:val="Brdtekst"/>
        <w:spacing w:before="165" w:line="259" w:lineRule="auto"/>
        <w:ind w:right="401"/>
      </w:pPr>
      <w:r>
        <w:t xml:space="preserve">The work on equality, diversity and inclusion is a management responsibility and is part of NMBU’s strategic efforts, both at a general and local level. The university aims to achieve gender balance at all levels of the organisation: students, all groups of employees, councils, committees, </w:t>
      </w:r>
      <w:proofErr w:type="gramStart"/>
      <w:r>
        <w:t>departments</w:t>
      </w:r>
      <w:proofErr w:type="gramEnd"/>
      <w:r>
        <w:t xml:space="preserve"> and governing bodies. </w:t>
      </w:r>
    </w:p>
    <w:p w14:paraId="507DFF44" w14:textId="572504F0" w:rsidR="00EA24BA" w:rsidRDefault="001950CB" w:rsidP="00EA24BA">
      <w:pPr>
        <w:pStyle w:val="Brdtekst"/>
        <w:spacing w:before="165" w:line="259" w:lineRule="auto"/>
        <w:ind w:right="401"/>
      </w:pPr>
      <w:r>
        <w:t xml:space="preserve">NMBU shall comply with the requirements set out by the Norwegian authorities and the EU with respect to equality, </w:t>
      </w:r>
      <w:proofErr w:type="gramStart"/>
      <w:r>
        <w:t>diversity</w:t>
      </w:r>
      <w:proofErr w:type="gramEnd"/>
      <w:r>
        <w:t xml:space="preserve"> and inclusion. NMBU also aims to contribute to achieving the UN Sustainable Development Goals on gender equality and reduced inequality. Therefore, NMBU shall continuously work to raise awareness of why we need to work on equality, </w:t>
      </w:r>
      <w:proofErr w:type="gramStart"/>
      <w:r>
        <w:t>diversity</w:t>
      </w:r>
      <w:proofErr w:type="gramEnd"/>
      <w:r>
        <w:t xml:space="preserve"> and inclusion, and must have an ongoing and active discussion on these topics. </w:t>
      </w:r>
    </w:p>
    <w:p w14:paraId="281FB22D" w14:textId="26BB83F0" w:rsidR="001950CB" w:rsidRPr="00EA24BA" w:rsidRDefault="001950CB" w:rsidP="00EA24BA">
      <w:pPr>
        <w:pStyle w:val="Brdtekst"/>
        <w:spacing w:before="165" w:line="259" w:lineRule="auto"/>
        <w:ind w:right="401"/>
      </w:pPr>
      <w:r>
        <w:t xml:space="preserve">The action plan defines goals and actions, sets out responsibility and lists the resources (see ‘Institutional structures’) required to achieve these goals at NMBU. The measures and actions have been devised and worded broadly to ensure that it will be possible to add further measures and activities during the action plan period, based on analyses and surveys. The plan is divided into target areas recommended by the EU </w:t>
      </w:r>
      <w:proofErr w:type="gramStart"/>
      <w:r>
        <w:t>and also</w:t>
      </w:r>
      <w:proofErr w:type="gramEnd"/>
      <w:r>
        <w:t xml:space="preserve"> covers national expectations and requirements in the field.</w:t>
      </w:r>
    </w:p>
    <w:p w14:paraId="04A049A5" w14:textId="680BCF61" w:rsidR="00F10C4A" w:rsidRDefault="001950CB" w:rsidP="00F10C4A">
      <w:pPr>
        <w:rPr>
          <w:b/>
          <w:bCs/>
          <w:sz w:val="28"/>
          <w:szCs w:val="28"/>
        </w:rPr>
      </w:pPr>
      <w:r>
        <w:br w:type="column"/>
      </w:r>
      <w:r>
        <w:rPr>
          <w:b/>
          <w:bCs/>
          <w:sz w:val="28"/>
          <w:szCs w:val="28"/>
        </w:rPr>
        <w:lastRenderedPageBreak/>
        <w:t>Organisational culture and work-life balance</w:t>
      </w:r>
    </w:p>
    <w:tbl>
      <w:tblPr>
        <w:tblStyle w:val="Tabellrutenett"/>
        <w:tblpPr w:leftFromText="141" w:rightFromText="141" w:vertAnchor="page" w:horzAnchor="margin" w:tblpY="1981"/>
        <w:tblW w:w="0" w:type="auto"/>
        <w:tblLook w:val="04A0" w:firstRow="1" w:lastRow="0" w:firstColumn="1" w:lastColumn="0" w:noHBand="0" w:noVBand="1"/>
      </w:tblPr>
      <w:tblGrid>
        <w:gridCol w:w="2322"/>
        <w:gridCol w:w="2860"/>
        <w:gridCol w:w="2437"/>
        <w:gridCol w:w="1397"/>
      </w:tblGrid>
      <w:tr w:rsidR="007E496B" w14:paraId="4C8D1E3E" w14:textId="1B785C40" w:rsidTr="007E496B">
        <w:tc>
          <w:tcPr>
            <w:tcW w:w="2322" w:type="dxa"/>
            <w:shd w:val="clear" w:color="auto" w:fill="009A81"/>
          </w:tcPr>
          <w:p w14:paraId="34D78600" w14:textId="77777777" w:rsidR="007E496B" w:rsidRPr="00F10C4A" w:rsidRDefault="007E496B" w:rsidP="002F1810">
            <w:pPr>
              <w:rPr>
                <w:b/>
                <w:bCs/>
              </w:rPr>
            </w:pPr>
            <w:r>
              <w:rPr>
                <w:b/>
                <w:color w:val="FFFFFF"/>
              </w:rPr>
              <w:t>Goal</w:t>
            </w:r>
          </w:p>
        </w:tc>
        <w:tc>
          <w:tcPr>
            <w:tcW w:w="2860" w:type="dxa"/>
            <w:shd w:val="clear" w:color="auto" w:fill="009A81"/>
          </w:tcPr>
          <w:p w14:paraId="4B3C8358" w14:textId="77777777" w:rsidR="007E496B" w:rsidRPr="00F10C4A" w:rsidRDefault="007E496B" w:rsidP="002F1810">
            <w:pPr>
              <w:rPr>
                <w:b/>
                <w:bCs/>
              </w:rPr>
            </w:pPr>
            <w:r>
              <w:rPr>
                <w:b/>
                <w:color w:val="FFFFFF"/>
              </w:rPr>
              <w:t>Measure</w:t>
            </w:r>
          </w:p>
        </w:tc>
        <w:tc>
          <w:tcPr>
            <w:tcW w:w="2437" w:type="dxa"/>
            <w:shd w:val="clear" w:color="auto" w:fill="009A81"/>
          </w:tcPr>
          <w:p w14:paraId="6B879C89" w14:textId="77777777" w:rsidR="007E496B" w:rsidRPr="00F10C4A" w:rsidRDefault="007E496B" w:rsidP="002F1810">
            <w:pPr>
              <w:rPr>
                <w:b/>
                <w:bCs/>
              </w:rPr>
            </w:pPr>
            <w:r>
              <w:rPr>
                <w:b/>
                <w:color w:val="FFFFFF"/>
              </w:rPr>
              <w:t>Responsibility</w:t>
            </w:r>
          </w:p>
        </w:tc>
        <w:tc>
          <w:tcPr>
            <w:tcW w:w="1397" w:type="dxa"/>
            <w:shd w:val="clear" w:color="auto" w:fill="009A81"/>
          </w:tcPr>
          <w:p w14:paraId="7377C303" w14:textId="1604BB51" w:rsidR="007E496B" w:rsidRDefault="00DB2983" w:rsidP="002F1810">
            <w:pPr>
              <w:rPr>
                <w:b/>
                <w:color w:val="FFFFFF"/>
              </w:rPr>
            </w:pPr>
            <w:r>
              <w:rPr>
                <w:b/>
                <w:color w:val="FFFFFF"/>
              </w:rPr>
              <w:t>Deadline</w:t>
            </w:r>
          </w:p>
        </w:tc>
      </w:tr>
      <w:tr w:rsidR="007E496B" w14:paraId="271901AD" w14:textId="54A265A3" w:rsidTr="007E496B">
        <w:trPr>
          <w:trHeight w:val="1210"/>
        </w:trPr>
        <w:tc>
          <w:tcPr>
            <w:tcW w:w="2322" w:type="dxa"/>
            <w:vMerge w:val="restart"/>
          </w:tcPr>
          <w:p w14:paraId="5CCE0EB5" w14:textId="77777777" w:rsidR="007E496B" w:rsidRDefault="007E496B" w:rsidP="002F1810">
            <w:pPr>
              <w:spacing w:after="160" w:line="259" w:lineRule="auto"/>
              <w:rPr>
                <w:i/>
                <w:iCs/>
              </w:rPr>
            </w:pPr>
          </w:p>
          <w:p w14:paraId="68171BF4" w14:textId="77777777" w:rsidR="007E496B" w:rsidRPr="00F10C4A" w:rsidRDefault="007E496B" w:rsidP="002F1810">
            <w:pPr>
              <w:spacing w:after="160" w:line="259" w:lineRule="auto"/>
              <w:rPr>
                <w:i/>
                <w:iCs/>
              </w:rPr>
            </w:pPr>
            <w:r>
              <w:rPr>
                <w:i/>
                <w:iCs/>
              </w:rPr>
              <w:t>Greater flexibility in working and student life to make combining family life and a career manageable</w:t>
            </w:r>
          </w:p>
        </w:tc>
        <w:tc>
          <w:tcPr>
            <w:tcW w:w="2860" w:type="dxa"/>
          </w:tcPr>
          <w:p w14:paraId="5998568D" w14:textId="699773FE" w:rsidR="007E496B" w:rsidRDefault="007E496B" w:rsidP="002F1810">
            <w:r>
              <w:t>The units must work actively to ensure that it is possible to combine a career and family life</w:t>
            </w:r>
          </w:p>
        </w:tc>
        <w:tc>
          <w:tcPr>
            <w:tcW w:w="2437" w:type="dxa"/>
          </w:tcPr>
          <w:p w14:paraId="443D432D" w14:textId="26B5CCE2" w:rsidR="007E496B" w:rsidRDefault="007E496B" w:rsidP="002F1810">
            <w:r>
              <w:t xml:space="preserve">Faculties, departments </w:t>
            </w:r>
          </w:p>
          <w:p w14:paraId="7D46FB06" w14:textId="77777777" w:rsidR="007E496B" w:rsidRDefault="007E496B" w:rsidP="002F1810"/>
        </w:tc>
        <w:tc>
          <w:tcPr>
            <w:tcW w:w="1397" w:type="dxa"/>
          </w:tcPr>
          <w:p w14:paraId="75221160" w14:textId="037A503A" w:rsidR="007E496B" w:rsidRDefault="00074602" w:rsidP="002F1810">
            <w:r>
              <w:t>December 2025</w:t>
            </w:r>
          </w:p>
        </w:tc>
      </w:tr>
      <w:tr w:rsidR="007E496B" w14:paraId="04D5FC57" w14:textId="1FEDE869" w:rsidTr="007E496B">
        <w:trPr>
          <w:trHeight w:val="1210"/>
        </w:trPr>
        <w:tc>
          <w:tcPr>
            <w:tcW w:w="2322" w:type="dxa"/>
            <w:vMerge/>
          </w:tcPr>
          <w:p w14:paraId="0562244A" w14:textId="77777777" w:rsidR="007E496B" w:rsidRDefault="007E496B" w:rsidP="002F1810">
            <w:pPr>
              <w:rPr>
                <w:i/>
                <w:iCs/>
              </w:rPr>
            </w:pPr>
          </w:p>
        </w:tc>
        <w:tc>
          <w:tcPr>
            <w:tcW w:w="2860" w:type="dxa"/>
          </w:tcPr>
          <w:p w14:paraId="06BED131" w14:textId="2853BB09" w:rsidR="007E496B" w:rsidRPr="00AF0514" w:rsidRDefault="007E496B" w:rsidP="002F1810">
            <w:r>
              <w:t>Review, identify and implement measures based on employee surveys</w:t>
            </w:r>
          </w:p>
        </w:tc>
        <w:tc>
          <w:tcPr>
            <w:tcW w:w="2437" w:type="dxa"/>
          </w:tcPr>
          <w:p w14:paraId="616BEFA8" w14:textId="77777777" w:rsidR="007E496B" w:rsidRDefault="007E496B" w:rsidP="002F1810">
            <w:r>
              <w:t>Department of Human Resources (POA)</w:t>
            </w:r>
          </w:p>
        </w:tc>
        <w:tc>
          <w:tcPr>
            <w:tcW w:w="1397" w:type="dxa"/>
          </w:tcPr>
          <w:p w14:paraId="04F9CEDA" w14:textId="77777777" w:rsidR="007E496B" w:rsidRDefault="007E496B" w:rsidP="002F1810"/>
        </w:tc>
      </w:tr>
      <w:tr w:rsidR="007E496B" w14:paraId="721D2CF2" w14:textId="50F828A3" w:rsidTr="007E496B">
        <w:trPr>
          <w:trHeight w:val="535"/>
        </w:trPr>
        <w:tc>
          <w:tcPr>
            <w:tcW w:w="2322" w:type="dxa"/>
            <w:vMerge w:val="restart"/>
          </w:tcPr>
          <w:p w14:paraId="203E5632" w14:textId="77777777" w:rsidR="007E496B" w:rsidRDefault="007E496B" w:rsidP="002F1810">
            <w:pPr>
              <w:rPr>
                <w:i/>
                <w:iCs/>
              </w:rPr>
            </w:pPr>
          </w:p>
          <w:p w14:paraId="127D85AC" w14:textId="77777777" w:rsidR="007E496B" w:rsidRDefault="007E496B" w:rsidP="002F1810">
            <w:pPr>
              <w:rPr>
                <w:i/>
                <w:iCs/>
              </w:rPr>
            </w:pPr>
          </w:p>
          <w:p w14:paraId="747DD23A" w14:textId="423FFE46" w:rsidR="007E496B" w:rsidRDefault="007E496B" w:rsidP="002F1810">
            <w:r w:rsidRPr="008B063C">
              <w:rPr>
                <w:i/>
                <w:iCs/>
              </w:rPr>
              <w:t>NMBU shall strive to accommodate employees’ needs throughout their</w:t>
            </w:r>
            <w:r>
              <w:rPr>
                <w:i/>
                <w:iCs/>
              </w:rPr>
              <w:t xml:space="preserve"> professional careers</w:t>
            </w:r>
          </w:p>
        </w:tc>
        <w:tc>
          <w:tcPr>
            <w:tcW w:w="2860" w:type="dxa"/>
          </w:tcPr>
          <w:p w14:paraId="2FA8A57E" w14:textId="2F3B0078" w:rsidR="007E496B" w:rsidRDefault="007E496B" w:rsidP="00A97E8A">
            <w:r>
              <w:t xml:space="preserve">Develop guidelines on how to use performance appraisal interviews and annual plan discussions actively </w:t>
            </w:r>
          </w:p>
        </w:tc>
        <w:tc>
          <w:tcPr>
            <w:tcW w:w="2437" w:type="dxa"/>
          </w:tcPr>
          <w:p w14:paraId="73E1A5F1" w14:textId="77777777" w:rsidR="007E496B" w:rsidRDefault="007E496B" w:rsidP="002F1810">
            <w:r>
              <w:t xml:space="preserve">POA and employee representatives </w:t>
            </w:r>
          </w:p>
          <w:p w14:paraId="32A80038" w14:textId="77777777" w:rsidR="007E496B" w:rsidRDefault="007E496B" w:rsidP="002F1810"/>
        </w:tc>
        <w:tc>
          <w:tcPr>
            <w:tcW w:w="1397" w:type="dxa"/>
          </w:tcPr>
          <w:p w14:paraId="5B3BDCC4" w14:textId="77777777" w:rsidR="007E496B" w:rsidRDefault="007E496B" w:rsidP="002F1810"/>
        </w:tc>
      </w:tr>
      <w:tr w:rsidR="007E496B" w14:paraId="40FAA74F" w14:textId="04328BFC" w:rsidTr="007E496B">
        <w:trPr>
          <w:trHeight w:val="535"/>
        </w:trPr>
        <w:tc>
          <w:tcPr>
            <w:tcW w:w="2322" w:type="dxa"/>
            <w:vMerge/>
          </w:tcPr>
          <w:p w14:paraId="6452407D" w14:textId="77777777" w:rsidR="007E496B" w:rsidRPr="00D416F0" w:rsidRDefault="007E496B" w:rsidP="002F1810">
            <w:pPr>
              <w:rPr>
                <w:i/>
                <w:iCs/>
              </w:rPr>
            </w:pPr>
          </w:p>
        </w:tc>
        <w:tc>
          <w:tcPr>
            <w:tcW w:w="2860" w:type="dxa"/>
          </w:tcPr>
          <w:p w14:paraId="67811BE1" w14:textId="34D6137A" w:rsidR="007E496B" w:rsidRDefault="007E496B" w:rsidP="002F1810">
            <w:r>
              <w:t>Invite to discussions about how the working and student environment at the university is perceived</w:t>
            </w:r>
          </w:p>
        </w:tc>
        <w:tc>
          <w:tcPr>
            <w:tcW w:w="2437" w:type="dxa"/>
          </w:tcPr>
          <w:p w14:paraId="5F177D33" w14:textId="7F99AAB5" w:rsidR="007E496B" w:rsidRDefault="007E496B" w:rsidP="002F1810">
            <w:pPr>
              <w:rPr>
                <w:i/>
                <w:iCs/>
              </w:rPr>
            </w:pPr>
            <w:r>
              <w:t>The Working Environment Committee (AMU) and the Department of Academic Affairs</w:t>
            </w:r>
          </w:p>
          <w:p w14:paraId="232AEE09" w14:textId="77777777" w:rsidR="007E496B" w:rsidRDefault="007E496B" w:rsidP="002F1810"/>
        </w:tc>
        <w:tc>
          <w:tcPr>
            <w:tcW w:w="1397" w:type="dxa"/>
          </w:tcPr>
          <w:p w14:paraId="2230EFA8" w14:textId="77777777" w:rsidR="007E496B" w:rsidRPr="00CB1120" w:rsidRDefault="007E496B" w:rsidP="002F1810"/>
        </w:tc>
      </w:tr>
      <w:tr w:rsidR="007E496B" w14:paraId="529A987A" w14:textId="37F2187C" w:rsidTr="007E496B">
        <w:trPr>
          <w:trHeight w:val="535"/>
        </w:trPr>
        <w:tc>
          <w:tcPr>
            <w:tcW w:w="2322" w:type="dxa"/>
          </w:tcPr>
          <w:p w14:paraId="06B2D9F4" w14:textId="77777777" w:rsidR="007E496B" w:rsidRDefault="007E496B" w:rsidP="002F1810">
            <w:pPr>
              <w:rPr>
                <w:i/>
                <w:iCs/>
              </w:rPr>
            </w:pPr>
          </w:p>
          <w:p w14:paraId="4AC7127B" w14:textId="07A18F15" w:rsidR="007E496B" w:rsidRPr="00D416F0" w:rsidRDefault="007E496B" w:rsidP="00227EDC">
            <w:pPr>
              <w:rPr>
                <w:i/>
                <w:iCs/>
              </w:rPr>
            </w:pPr>
            <w:r>
              <w:rPr>
                <w:i/>
                <w:iCs/>
              </w:rPr>
              <w:t xml:space="preserve">Reduce the </w:t>
            </w:r>
            <w:proofErr w:type="gramStart"/>
            <w:r>
              <w:rPr>
                <w:i/>
                <w:iCs/>
              </w:rPr>
              <w:t>amount</w:t>
            </w:r>
            <w:proofErr w:type="gramEnd"/>
            <w:r>
              <w:rPr>
                <w:i/>
                <w:iCs/>
              </w:rPr>
              <w:t xml:space="preserve"> of temporary positions </w:t>
            </w:r>
          </w:p>
        </w:tc>
        <w:tc>
          <w:tcPr>
            <w:tcW w:w="2860" w:type="dxa"/>
          </w:tcPr>
          <w:p w14:paraId="77A48E84" w14:textId="42CEE332" w:rsidR="007E496B" w:rsidRPr="00990257" w:rsidRDefault="007E496B" w:rsidP="00227EDC">
            <w:r>
              <w:t xml:space="preserve">Comply with government orders on how to reduce the amount of temporary </w:t>
            </w:r>
            <w:proofErr w:type="gramStart"/>
            <w:r>
              <w:t>positions</w:t>
            </w:r>
            <w:proofErr w:type="gramEnd"/>
          </w:p>
          <w:p w14:paraId="39715193" w14:textId="4332D9E8" w:rsidR="007E496B" w:rsidRPr="005A0F4E" w:rsidRDefault="007E496B" w:rsidP="005A0F4E"/>
        </w:tc>
        <w:tc>
          <w:tcPr>
            <w:tcW w:w="2437" w:type="dxa"/>
          </w:tcPr>
          <w:p w14:paraId="4B533810" w14:textId="29735D07" w:rsidR="007E496B" w:rsidRPr="00CB1120" w:rsidRDefault="007E496B" w:rsidP="002F1810">
            <w:r>
              <w:t>Management</w:t>
            </w:r>
          </w:p>
        </w:tc>
        <w:tc>
          <w:tcPr>
            <w:tcW w:w="1397" w:type="dxa"/>
          </w:tcPr>
          <w:p w14:paraId="5DA2113B" w14:textId="3B271E6E" w:rsidR="007E496B" w:rsidRDefault="00DC3B63" w:rsidP="002F1810">
            <w:r>
              <w:t>December 2025</w:t>
            </w:r>
          </w:p>
        </w:tc>
      </w:tr>
    </w:tbl>
    <w:p w14:paraId="6F9C8224" w14:textId="77777777" w:rsidR="00DB2983" w:rsidRDefault="00DB2983" w:rsidP="00DB2983">
      <w:pPr>
        <w:rPr>
          <w:b/>
          <w:bCs/>
          <w:sz w:val="28"/>
          <w:szCs w:val="28"/>
        </w:rPr>
      </w:pPr>
    </w:p>
    <w:p w14:paraId="7141FDC7" w14:textId="13B5F9E1" w:rsidR="00DB2983" w:rsidRPr="00240C89" w:rsidRDefault="00DB2983" w:rsidP="00DB2983">
      <w:pPr>
        <w:rPr>
          <w:b/>
          <w:bCs/>
        </w:rPr>
      </w:pPr>
      <w:r>
        <w:rPr>
          <w:b/>
          <w:bCs/>
          <w:sz w:val="28"/>
          <w:szCs w:val="28"/>
        </w:rPr>
        <w:t>Gender balance and diversity in management and decision-making</w:t>
      </w:r>
    </w:p>
    <w:tbl>
      <w:tblPr>
        <w:tblStyle w:val="Tabellrutenett"/>
        <w:tblpPr w:leftFromText="141" w:rightFromText="141" w:vertAnchor="page" w:horzAnchor="margin" w:tblpY="9679"/>
        <w:tblW w:w="0" w:type="auto"/>
        <w:tblLook w:val="04A0" w:firstRow="1" w:lastRow="0" w:firstColumn="1" w:lastColumn="0" w:noHBand="0" w:noVBand="1"/>
      </w:tblPr>
      <w:tblGrid>
        <w:gridCol w:w="2551"/>
        <w:gridCol w:w="2793"/>
        <w:gridCol w:w="2306"/>
        <w:gridCol w:w="1366"/>
      </w:tblGrid>
      <w:tr w:rsidR="000920F1" w14:paraId="15DC6EE2" w14:textId="77777777" w:rsidTr="000920F1">
        <w:trPr>
          <w:trHeight w:val="245"/>
        </w:trPr>
        <w:tc>
          <w:tcPr>
            <w:tcW w:w="2551" w:type="dxa"/>
            <w:shd w:val="clear" w:color="auto" w:fill="009A81"/>
          </w:tcPr>
          <w:p w14:paraId="3AF8A848" w14:textId="77777777" w:rsidR="000920F1" w:rsidRPr="00F10C4A" w:rsidRDefault="000920F1" w:rsidP="000920F1">
            <w:pPr>
              <w:rPr>
                <w:b/>
                <w:bCs/>
              </w:rPr>
            </w:pPr>
            <w:r>
              <w:rPr>
                <w:b/>
                <w:color w:val="FFFFFF"/>
              </w:rPr>
              <w:t>Goal</w:t>
            </w:r>
          </w:p>
        </w:tc>
        <w:tc>
          <w:tcPr>
            <w:tcW w:w="2793" w:type="dxa"/>
            <w:shd w:val="clear" w:color="auto" w:fill="009A81"/>
          </w:tcPr>
          <w:p w14:paraId="705CA001" w14:textId="77777777" w:rsidR="000920F1" w:rsidRPr="00F10C4A" w:rsidRDefault="000920F1" w:rsidP="000920F1">
            <w:pPr>
              <w:rPr>
                <w:b/>
                <w:bCs/>
              </w:rPr>
            </w:pPr>
            <w:r>
              <w:rPr>
                <w:b/>
                <w:color w:val="FFFFFF"/>
              </w:rPr>
              <w:t>Measure</w:t>
            </w:r>
          </w:p>
        </w:tc>
        <w:tc>
          <w:tcPr>
            <w:tcW w:w="2306" w:type="dxa"/>
            <w:shd w:val="clear" w:color="auto" w:fill="009A81"/>
          </w:tcPr>
          <w:p w14:paraId="2C733C01" w14:textId="77777777" w:rsidR="000920F1" w:rsidRPr="00F10C4A" w:rsidRDefault="000920F1" w:rsidP="000920F1">
            <w:pPr>
              <w:rPr>
                <w:b/>
                <w:bCs/>
              </w:rPr>
            </w:pPr>
            <w:r>
              <w:rPr>
                <w:b/>
                <w:color w:val="FFFFFF"/>
              </w:rPr>
              <w:t>Responsibility</w:t>
            </w:r>
          </w:p>
        </w:tc>
        <w:tc>
          <w:tcPr>
            <w:tcW w:w="1366" w:type="dxa"/>
            <w:shd w:val="clear" w:color="auto" w:fill="009A81"/>
          </w:tcPr>
          <w:p w14:paraId="5BD1ACBB" w14:textId="77777777" w:rsidR="000920F1" w:rsidRDefault="000920F1" w:rsidP="000920F1">
            <w:pPr>
              <w:rPr>
                <w:b/>
                <w:color w:val="FFFFFF"/>
              </w:rPr>
            </w:pPr>
            <w:r>
              <w:rPr>
                <w:b/>
                <w:color w:val="FFFFFF"/>
              </w:rPr>
              <w:t>Deadline</w:t>
            </w:r>
          </w:p>
        </w:tc>
      </w:tr>
      <w:tr w:rsidR="000920F1" w14:paraId="7539A12A" w14:textId="77777777" w:rsidTr="000920F1">
        <w:trPr>
          <w:trHeight w:val="854"/>
        </w:trPr>
        <w:tc>
          <w:tcPr>
            <w:tcW w:w="2551" w:type="dxa"/>
            <w:vMerge w:val="restart"/>
          </w:tcPr>
          <w:p w14:paraId="44968BA0" w14:textId="77777777" w:rsidR="000920F1" w:rsidRDefault="000920F1" w:rsidP="000920F1">
            <w:pPr>
              <w:spacing w:after="160" w:line="259" w:lineRule="auto"/>
              <w:rPr>
                <w:i/>
                <w:iCs/>
              </w:rPr>
            </w:pPr>
          </w:p>
          <w:p w14:paraId="5E774374" w14:textId="77777777" w:rsidR="000920F1" w:rsidRPr="006D6559" w:rsidRDefault="000920F1" w:rsidP="000920F1">
            <w:pPr>
              <w:rPr>
                <w:i/>
                <w:iCs/>
              </w:rPr>
            </w:pPr>
            <w:r>
              <w:rPr>
                <w:i/>
                <w:iCs/>
              </w:rPr>
              <w:t xml:space="preserve">The work on equality, diversity and inclusion is anchored in </w:t>
            </w:r>
            <w:proofErr w:type="gramStart"/>
            <w:r>
              <w:rPr>
                <w:i/>
                <w:iCs/>
              </w:rPr>
              <w:t>management</w:t>
            </w:r>
            <w:proofErr w:type="gramEnd"/>
          </w:p>
          <w:p w14:paraId="20639A2D" w14:textId="77777777" w:rsidR="000920F1" w:rsidRPr="00F10C4A" w:rsidRDefault="000920F1" w:rsidP="000920F1">
            <w:pPr>
              <w:spacing w:after="160" w:line="259" w:lineRule="auto"/>
              <w:rPr>
                <w:i/>
                <w:iCs/>
              </w:rPr>
            </w:pPr>
          </w:p>
        </w:tc>
        <w:tc>
          <w:tcPr>
            <w:tcW w:w="2793" w:type="dxa"/>
          </w:tcPr>
          <w:p w14:paraId="281E6C71" w14:textId="77777777" w:rsidR="000920F1" w:rsidRDefault="000920F1" w:rsidP="000920F1">
            <w:r>
              <w:t xml:space="preserve">Equality and diversity should regularly be discussed in management </w:t>
            </w:r>
            <w:proofErr w:type="gramStart"/>
            <w:r>
              <w:t>forums</w:t>
            </w:r>
            <w:proofErr w:type="gramEnd"/>
          </w:p>
          <w:p w14:paraId="3232F874" w14:textId="77777777" w:rsidR="000920F1" w:rsidRDefault="000920F1" w:rsidP="000920F1"/>
          <w:p w14:paraId="687245F7" w14:textId="77777777" w:rsidR="000920F1" w:rsidRDefault="000920F1" w:rsidP="000920F1"/>
        </w:tc>
        <w:tc>
          <w:tcPr>
            <w:tcW w:w="2306" w:type="dxa"/>
          </w:tcPr>
          <w:p w14:paraId="02F30E0B" w14:textId="77777777" w:rsidR="000920F1" w:rsidRDefault="000920F1" w:rsidP="000920F1">
            <w:pPr>
              <w:spacing w:after="160" w:line="259" w:lineRule="auto"/>
            </w:pPr>
            <w:r>
              <w:t>Management</w:t>
            </w:r>
          </w:p>
          <w:p w14:paraId="416E7265" w14:textId="77777777" w:rsidR="000920F1" w:rsidRDefault="000920F1" w:rsidP="000920F1">
            <w:pPr>
              <w:spacing w:after="160" w:line="259" w:lineRule="auto"/>
            </w:pPr>
          </w:p>
          <w:p w14:paraId="45276196" w14:textId="77777777" w:rsidR="000920F1" w:rsidRDefault="000920F1" w:rsidP="000920F1"/>
        </w:tc>
        <w:tc>
          <w:tcPr>
            <w:tcW w:w="1366" w:type="dxa"/>
          </w:tcPr>
          <w:p w14:paraId="12D7A09F" w14:textId="77777777" w:rsidR="000920F1" w:rsidRDefault="000920F1" w:rsidP="000920F1"/>
        </w:tc>
      </w:tr>
      <w:tr w:rsidR="000920F1" w14:paraId="2E37449F" w14:textId="77777777" w:rsidTr="000920F1">
        <w:trPr>
          <w:trHeight w:val="854"/>
        </w:trPr>
        <w:tc>
          <w:tcPr>
            <w:tcW w:w="2551" w:type="dxa"/>
            <w:vMerge/>
          </w:tcPr>
          <w:p w14:paraId="3EE8CB4F" w14:textId="77777777" w:rsidR="000920F1" w:rsidRDefault="000920F1" w:rsidP="000920F1">
            <w:pPr>
              <w:rPr>
                <w:i/>
                <w:iCs/>
              </w:rPr>
            </w:pPr>
          </w:p>
        </w:tc>
        <w:tc>
          <w:tcPr>
            <w:tcW w:w="2793" w:type="dxa"/>
          </w:tcPr>
          <w:p w14:paraId="03CC63B4" w14:textId="77777777" w:rsidR="000920F1" w:rsidRDefault="000920F1" w:rsidP="000920F1">
            <w:r>
              <w:t xml:space="preserve">Emphasise expertise on equality and diversity when hiring new </w:t>
            </w:r>
            <w:proofErr w:type="gramStart"/>
            <w:r>
              <w:t>managers</w:t>
            </w:r>
            <w:proofErr w:type="gramEnd"/>
          </w:p>
          <w:p w14:paraId="5319A73D" w14:textId="77777777" w:rsidR="000920F1" w:rsidRDefault="000920F1" w:rsidP="000920F1"/>
        </w:tc>
        <w:tc>
          <w:tcPr>
            <w:tcW w:w="2306" w:type="dxa"/>
          </w:tcPr>
          <w:p w14:paraId="1A31A781" w14:textId="77777777" w:rsidR="000920F1" w:rsidRDefault="000920F1" w:rsidP="000920F1">
            <w:r>
              <w:t>Position manager</w:t>
            </w:r>
          </w:p>
          <w:p w14:paraId="7DF3B941" w14:textId="77777777" w:rsidR="000920F1" w:rsidRDefault="000920F1" w:rsidP="000920F1"/>
        </w:tc>
        <w:tc>
          <w:tcPr>
            <w:tcW w:w="1366" w:type="dxa"/>
          </w:tcPr>
          <w:p w14:paraId="0A16F810" w14:textId="77777777" w:rsidR="000920F1" w:rsidRDefault="000920F1" w:rsidP="000920F1"/>
        </w:tc>
      </w:tr>
      <w:tr w:rsidR="000920F1" w14:paraId="326A1C45" w14:textId="77777777" w:rsidTr="000920F1">
        <w:trPr>
          <w:trHeight w:val="1804"/>
        </w:trPr>
        <w:tc>
          <w:tcPr>
            <w:tcW w:w="2551" w:type="dxa"/>
          </w:tcPr>
          <w:p w14:paraId="19505431" w14:textId="77777777" w:rsidR="000920F1" w:rsidRDefault="000920F1" w:rsidP="000920F1">
            <w:pPr>
              <w:spacing w:after="160" w:line="259" w:lineRule="auto"/>
              <w:rPr>
                <w:i/>
                <w:iCs/>
              </w:rPr>
            </w:pPr>
          </w:p>
          <w:p w14:paraId="39BA99C4" w14:textId="77777777" w:rsidR="000920F1" w:rsidRPr="006D6559" w:rsidRDefault="000920F1" w:rsidP="000920F1">
            <w:pPr>
              <w:rPr>
                <w:i/>
                <w:iCs/>
              </w:rPr>
            </w:pPr>
            <w:r>
              <w:rPr>
                <w:i/>
                <w:iCs/>
              </w:rPr>
              <w:t xml:space="preserve">Increased competence and raised awareness of equality and diversity among NMBU’s </w:t>
            </w:r>
            <w:proofErr w:type="gramStart"/>
            <w:r>
              <w:rPr>
                <w:i/>
                <w:iCs/>
              </w:rPr>
              <w:t>managers</w:t>
            </w:r>
            <w:proofErr w:type="gramEnd"/>
          </w:p>
          <w:p w14:paraId="46A9D65C" w14:textId="77777777" w:rsidR="000920F1" w:rsidRDefault="000920F1" w:rsidP="000920F1">
            <w:pPr>
              <w:rPr>
                <w:i/>
                <w:iCs/>
              </w:rPr>
            </w:pPr>
          </w:p>
          <w:p w14:paraId="7C915F4F" w14:textId="77777777" w:rsidR="000920F1" w:rsidRDefault="000920F1" w:rsidP="000920F1"/>
        </w:tc>
        <w:tc>
          <w:tcPr>
            <w:tcW w:w="2793" w:type="dxa"/>
          </w:tcPr>
          <w:p w14:paraId="70025C5F" w14:textId="77777777" w:rsidR="000920F1" w:rsidRPr="00E843DB" w:rsidRDefault="000920F1" w:rsidP="000920F1">
            <w:pPr>
              <w:rPr>
                <w:rFonts w:cstheme="minorHAnsi"/>
              </w:rPr>
            </w:pPr>
            <w:r>
              <w:t>Integration of equality and diversity perspectives in management training</w:t>
            </w:r>
          </w:p>
          <w:p w14:paraId="259EA053" w14:textId="77777777" w:rsidR="000920F1" w:rsidRDefault="000920F1" w:rsidP="000920F1">
            <w:pPr>
              <w:rPr>
                <w:rFonts w:cstheme="minorHAnsi"/>
              </w:rPr>
            </w:pPr>
          </w:p>
          <w:p w14:paraId="517954B6" w14:textId="77777777" w:rsidR="000920F1" w:rsidRDefault="000920F1" w:rsidP="000920F1"/>
        </w:tc>
        <w:tc>
          <w:tcPr>
            <w:tcW w:w="2306" w:type="dxa"/>
          </w:tcPr>
          <w:p w14:paraId="36B3ABAD" w14:textId="77777777" w:rsidR="000920F1" w:rsidRPr="008C67EC" w:rsidRDefault="000920F1" w:rsidP="000920F1">
            <w:r>
              <w:t>POA</w:t>
            </w:r>
          </w:p>
          <w:p w14:paraId="25CDD25B" w14:textId="77777777" w:rsidR="000920F1" w:rsidRDefault="000920F1" w:rsidP="000920F1"/>
        </w:tc>
        <w:tc>
          <w:tcPr>
            <w:tcW w:w="1366" w:type="dxa"/>
          </w:tcPr>
          <w:p w14:paraId="640BC3F9" w14:textId="77777777" w:rsidR="000920F1" w:rsidRDefault="000920F1" w:rsidP="000920F1"/>
        </w:tc>
      </w:tr>
    </w:tbl>
    <w:p w14:paraId="2DF39488" w14:textId="0BB1B6A1" w:rsidR="00240C89" w:rsidRDefault="00240C89" w:rsidP="00DB2983">
      <w:pPr>
        <w:pStyle w:val="TableParagraph"/>
        <w:spacing w:before="11" w:line="259" w:lineRule="exact"/>
        <w:ind w:right="3354"/>
        <w:rPr>
          <w:b/>
        </w:rPr>
      </w:pPr>
      <w:r>
        <w:rPr>
          <w:b/>
          <w:color w:val="FFFFFF"/>
        </w:rPr>
        <w:t>privacy</w:t>
      </w:r>
    </w:p>
    <w:p w14:paraId="3D8AF7FD" w14:textId="28D547F4" w:rsidR="005831D4" w:rsidRDefault="005831D4" w:rsidP="00E843DB">
      <w:pPr>
        <w:rPr>
          <w:b/>
          <w:bCs/>
          <w:sz w:val="28"/>
          <w:szCs w:val="28"/>
        </w:rPr>
      </w:pPr>
    </w:p>
    <w:tbl>
      <w:tblPr>
        <w:tblStyle w:val="Tabellrutenett"/>
        <w:tblpPr w:leftFromText="141" w:rightFromText="141" w:vertAnchor="page" w:horzAnchor="margin" w:tblpY="1951"/>
        <w:tblW w:w="0" w:type="auto"/>
        <w:tblLook w:val="04A0" w:firstRow="1" w:lastRow="0" w:firstColumn="1" w:lastColumn="0" w:noHBand="0" w:noVBand="1"/>
      </w:tblPr>
      <w:tblGrid>
        <w:gridCol w:w="2715"/>
        <w:gridCol w:w="2856"/>
        <w:gridCol w:w="1858"/>
        <w:gridCol w:w="1587"/>
      </w:tblGrid>
      <w:tr w:rsidR="00B74028" w:rsidRPr="008A47D7" w14:paraId="399EB955" w14:textId="6FB075B3" w:rsidTr="00B74028">
        <w:tc>
          <w:tcPr>
            <w:tcW w:w="2715" w:type="dxa"/>
            <w:shd w:val="clear" w:color="auto" w:fill="009A81"/>
          </w:tcPr>
          <w:p w14:paraId="2BD95C96" w14:textId="77777777" w:rsidR="00B74028" w:rsidRPr="008A47D7" w:rsidRDefault="00B74028" w:rsidP="00022344">
            <w:pPr>
              <w:spacing w:after="160" w:line="259" w:lineRule="auto"/>
              <w:rPr>
                <w:b/>
                <w:bCs/>
                <w:color w:val="FFFFFF" w:themeColor="background1"/>
              </w:rPr>
            </w:pPr>
            <w:r>
              <w:rPr>
                <w:b/>
                <w:color w:val="FFFFFF" w:themeColor="background1"/>
              </w:rPr>
              <w:lastRenderedPageBreak/>
              <w:t>Goal</w:t>
            </w:r>
          </w:p>
        </w:tc>
        <w:tc>
          <w:tcPr>
            <w:tcW w:w="2856" w:type="dxa"/>
            <w:shd w:val="clear" w:color="auto" w:fill="009A81"/>
          </w:tcPr>
          <w:p w14:paraId="4CC1C294" w14:textId="77777777" w:rsidR="00B74028" w:rsidRPr="008A47D7" w:rsidRDefault="00B74028" w:rsidP="00022344">
            <w:pPr>
              <w:spacing w:after="160" w:line="259" w:lineRule="auto"/>
              <w:rPr>
                <w:b/>
                <w:bCs/>
                <w:color w:val="FFFFFF" w:themeColor="background1"/>
              </w:rPr>
            </w:pPr>
            <w:r>
              <w:rPr>
                <w:b/>
                <w:color w:val="FFFFFF" w:themeColor="background1"/>
              </w:rPr>
              <w:t>Measure</w:t>
            </w:r>
          </w:p>
        </w:tc>
        <w:tc>
          <w:tcPr>
            <w:tcW w:w="1858" w:type="dxa"/>
            <w:shd w:val="clear" w:color="auto" w:fill="009A81"/>
          </w:tcPr>
          <w:p w14:paraId="40528AAC" w14:textId="77777777" w:rsidR="00B74028" w:rsidRPr="008A47D7" w:rsidRDefault="00B74028" w:rsidP="00022344">
            <w:pPr>
              <w:spacing w:after="160" w:line="259" w:lineRule="auto"/>
              <w:rPr>
                <w:b/>
                <w:bCs/>
                <w:color w:val="FFFFFF" w:themeColor="background1"/>
              </w:rPr>
            </w:pPr>
            <w:r>
              <w:rPr>
                <w:b/>
                <w:color w:val="FFFFFF" w:themeColor="background1"/>
              </w:rPr>
              <w:t>Responsibility</w:t>
            </w:r>
          </w:p>
        </w:tc>
        <w:tc>
          <w:tcPr>
            <w:tcW w:w="1587" w:type="dxa"/>
            <w:shd w:val="clear" w:color="auto" w:fill="009A81"/>
          </w:tcPr>
          <w:p w14:paraId="5FA05653" w14:textId="73317E5D" w:rsidR="00B74028" w:rsidRPr="008A47D7" w:rsidRDefault="00B74028" w:rsidP="00022344">
            <w:pPr>
              <w:rPr>
                <w:b/>
                <w:color w:val="FFFFFF" w:themeColor="background1"/>
              </w:rPr>
            </w:pPr>
            <w:r>
              <w:rPr>
                <w:b/>
                <w:color w:val="FFFFFF" w:themeColor="background1"/>
              </w:rPr>
              <w:t>Deadline</w:t>
            </w:r>
          </w:p>
        </w:tc>
      </w:tr>
      <w:tr w:rsidR="00B74028" w:rsidRPr="008A47D7" w14:paraId="366DB746" w14:textId="715D2851" w:rsidTr="00B74028">
        <w:trPr>
          <w:trHeight w:val="1085"/>
        </w:trPr>
        <w:tc>
          <w:tcPr>
            <w:tcW w:w="2715" w:type="dxa"/>
            <w:shd w:val="clear" w:color="auto" w:fill="FFFFFF" w:themeFill="background1"/>
          </w:tcPr>
          <w:p w14:paraId="75D3C132" w14:textId="77777777" w:rsidR="00B74028" w:rsidRDefault="00B74028" w:rsidP="00022344">
            <w:pPr>
              <w:rPr>
                <w:bCs/>
                <w:i/>
                <w:iCs/>
              </w:rPr>
            </w:pPr>
          </w:p>
          <w:p w14:paraId="529EA6BA" w14:textId="77777777" w:rsidR="00B74028" w:rsidRDefault="00B74028" w:rsidP="00022344">
            <w:pPr>
              <w:rPr>
                <w:bCs/>
                <w:i/>
                <w:iCs/>
              </w:rPr>
            </w:pPr>
            <w:r>
              <w:rPr>
                <w:bCs/>
                <w:i/>
                <w:iCs/>
              </w:rPr>
              <w:t xml:space="preserve">Increase the proportion of female </w:t>
            </w:r>
            <w:proofErr w:type="gramStart"/>
            <w:r>
              <w:rPr>
                <w:bCs/>
                <w:i/>
                <w:iCs/>
              </w:rPr>
              <w:t>professors</w:t>
            </w:r>
            <w:proofErr w:type="gramEnd"/>
          </w:p>
          <w:p w14:paraId="5EA42B7F" w14:textId="77777777" w:rsidR="00B74028" w:rsidRDefault="00B74028" w:rsidP="00022344">
            <w:pPr>
              <w:rPr>
                <w:bCs/>
                <w:i/>
                <w:iCs/>
              </w:rPr>
            </w:pPr>
          </w:p>
          <w:p w14:paraId="057ADE9A" w14:textId="2B6F0F21" w:rsidR="00B74028" w:rsidRPr="00695A71" w:rsidRDefault="00B74028" w:rsidP="00022344">
            <w:pPr>
              <w:rPr>
                <w:bCs/>
                <w:i/>
                <w:iCs/>
              </w:rPr>
            </w:pPr>
          </w:p>
        </w:tc>
        <w:tc>
          <w:tcPr>
            <w:tcW w:w="2856" w:type="dxa"/>
            <w:shd w:val="clear" w:color="auto" w:fill="FFFFFF" w:themeFill="background1"/>
          </w:tcPr>
          <w:p w14:paraId="55BA7D74" w14:textId="683C08A7" w:rsidR="00B74028" w:rsidRPr="00192605" w:rsidRDefault="00B74028" w:rsidP="00022344">
            <w:pPr>
              <w:rPr>
                <w:bCs/>
              </w:rPr>
            </w:pPr>
            <w:r>
              <w:t>The Promotion Project</w:t>
            </w:r>
          </w:p>
        </w:tc>
        <w:tc>
          <w:tcPr>
            <w:tcW w:w="1858" w:type="dxa"/>
            <w:shd w:val="clear" w:color="auto" w:fill="FFFFFF" w:themeFill="background1"/>
          </w:tcPr>
          <w:p w14:paraId="6E6BBE3A" w14:textId="0D74FE27" w:rsidR="00B74028" w:rsidRPr="00192605" w:rsidRDefault="00B74028" w:rsidP="00022344">
            <w:pPr>
              <w:rPr>
                <w:bCs/>
              </w:rPr>
            </w:pPr>
            <w:r>
              <w:t>POA</w:t>
            </w:r>
          </w:p>
        </w:tc>
        <w:tc>
          <w:tcPr>
            <w:tcW w:w="1587" w:type="dxa"/>
            <w:shd w:val="clear" w:color="auto" w:fill="FFFFFF" w:themeFill="background1"/>
          </w:tcPr>
          <w:p w14:paraId="1DE0AE67" w14:textId="6CC32FB8" w:rsidR="00B74028" w:rsidRPr="00192605" w:rsidRDefault="001F3137" w:rsidP="00022344">
            <w:pPr>
              <w:rPr>
                <w:bCs/>
              </w:rPr>
            </w:pPr>
            <w:r>
              <w:t>December 2025</w:t>
            </w:r>
          </w:p>
        </w:tc>
      </w:tr>
      <w:tr w:rsidR="00B74028" w:rsidRPr="008A47D7" w14:paraId="55B147A1" w14:textId="6D60F53F" w:rsidTr="00B74028">
        <w:tc>
          <w:tcPr>
            <w:tcW w:w="2715" w:type="dxa"/>
            <w:shd w:val="clear" w:color="auto" w:fill="FFFFFF" w:themeFill="background1"/>
          </w:tcPr>
          <w:p w14:paraId="4409CFFE" w14:textId="77777777" w:rsidR="00B74028" w:rsidRDefault="00B74028" w:rsidP="00022344">
            <w:pPr>
              <w:rPr>
                <w:bCs/>
                <w:i/>
                <w:iCs/>
              </w:rPr>
            </w:pPr>
          </w:p>
          <w:p w14:paraId="7709BC85" w14:textId="4B923BB8" w:rsidR="00B74028" w:rsidRDefault="00B74028" w:rsidP="00022344">
            <w:pPr>
              <w:rPr>
                <w:bCs/>
                <w:i/>
                <w:iCs/>
              </w:rPr>
            </w:pPr>
            <w:r>
              <w:rPr>
                <w:bCs/>
                <w:i/>
                <w:iCs/>
              </w:rPr>
              <w:t>Equal pay for equal work</w:t>
            </w:r>
          </w:p>
          <w:p w14:paraId="2E8F7F0D" w14:textId="7CFFA92A" w:rsidR="00B74028" w:rsidRDefault="00B74028" w:rsidP="00022344">
            <w:pPr>
              <w:rPr>
                <w:bCs/>
                <w:i/>
                <w:iCs/>
              </w:rPr>
            </w:pPr>
          </w:p>
        </w:tc>
        <w:tc>
          <w:tcPr>
            <w:tcW w:w="2856" w:type="dxa"/>
            <w:shd w:val="clear" w:color="auto" w:fill="FFFFFF" w:themeFill="background1"/>
          </w:tcPr>
          <w:p w14:paraId="5209D928" w14:textId="28C40ACC" w:rsidR="00B74028" w:rsidRPr="00803ED1" w:rsidRDefault="00B74028" w:rsidP="00803ED1">
            <w:pPr>
              <w:spacing w:after="160" w:line="259" w:lineRule="auto"/>
            </w:pPr>
            <w:r>
              <w:t xml:space="preserve">Monitor, </w:t>
            </w:r>
            <w:proofErr w:type="gramStart"/>
            <w:r>
              <w:t>map</w:t>
            </w:r>
            <w:proofErr w:type="gramEnd"/>
            <w:r>
              <w:t xml:space="preserve"> and report to ensure NMBU’s pay policy takes gender and diversity into account and reflects that NMBU practises equal pay for equal work</w:t>
            </w:r>
          </w:p>
        </w:tc>
        <w:tc>
          <w:tcPr>
            <w:tcW w:w="1858" w:type="dxa"/>
            <w:shd w:val="clear" w:color="auto" w:fill="FFFFFF" w:themeFill="background1"/>
          </w:tcPr>
          <w:p w14:paraId="5EDCBFA7" w14:textId="12225EC7" w:rsidR="00B74028" w:rsidRPr="00192605" w:rsidRDefault="00B74028" w:rsidP="00022344">
            <w:pPr>
              <w:rPr>
                <w:bCs/>
              </w:rPr>
            </w:pPr>
            <w:r>
              <w:t>POA and employee representatives</w:t>
            </w:r>
          </w:p>
        </w:tc>
        <w:tc>
          <w:tcPr>
            <w:tcW w:w="1587" w:type="dxa"/>
            <w:shd w:val="clear" w:color="auto" w:fill="FFFFFF" w:themeFill="background1"/>
          </w:tcPr>
          <w:p w14:paraId="3BAD54CB" w14:textId="4240A733" w:rsidR="00B74028" w:rsidRDefault="001F3137" w:rsidP="00022344">
            <w:pPr>
              <w:rPr>
                <w:bCs/>
              </w:rPr>
            </w:pPr>
            <w:r>
              <w:t>Annually</w:t>
            </w:r>
          </w:p>
        </w:tc>
      </w:tr>
      <w:tr w:rsidR="00B74028" w:rsidRPr="008A47D7" w14:paraId="58CDE897" w14:textId="1518EEC5" w:rsidTr="00B74028">
        <w:trPr>
          <w:trHeight w:val="940"/>
        </w:trPr>
        <w:tc>
          <w:tcPr>
            <w:tcW w:w="2715" w:type="dxa"/>
            <w:vMerge w:val="restart"/>
          </w:tcPr>
          <w:p w14:paraId="1938CB59" w14:textId="77777777" w:rsidR="00B74028" w:rsidRPr="008A47D7" w:rsidRDefault="00B74028" w:rsidP="00022344">
            <w:pPr>
              <w:spacing w:after="160" w:line="259" w:lineRule="auto"/>
              <w:rPr>
                <w:i/>
                <w:iCs/>
              </w:rPr>
            </w:pPr>
          </w:p>
          <w:p w14:paraId="32DDC42A" w14:textId="77777777" w:rsidR="00B74028" w:rsidRPr="00374DB6" w:rsidRDefault="00B74028" w:rsidP="00022344">
            <w:pPr>
              <w:rPr>
                <w:i/>
                <w:iCs/>
              </w:rPr>
            </w:pPr>
            <w:r>
              <w:rPr>
                <w:i/>
                <w:iCs/>
              </w:rPr>
              <w:t xml:space="preserve">NMBU shall be an open, diverse workplace where employees and students, regardless of background, feel that they belong, are an important part of the community and have the opportunity to participate in the </w:t>
            </w:r>
            <w:proofErr w:type="gramStart"/>
            <w:r>
              <w:rPr>
                <w:i/>
                <w:iCs/>
              </w:rPr>
              <w:t>workplace</w:t>
            </w:r>
            <w:proofErr w:type="gramEnd"/>
          </w:p>
          <w:p w14:paraId="00BB46E5" w14:textId="77777777" w:rsidR="00B74028" w:rsidRPr="008A47D7" w:rsidRDefault="00B74028" w:rsidP="00022344">
            <w:pPr>
              <w:rPr>
                <w:i/>
                <w:iCs/>
              </w:rPr>
            </w:pPr>
          </w:p>
        </w:tc>
        <w:tc>
          <w:tcPr>
            <w:tcW w:w="2856" w:type="dxa"/>
          </w:tcPr>
          <w:p w14:paraId="2B9B652E" w14:textId="77777777" w:rsidR="00B74028" w:rsidRPr="00F536AF" w:rsidRDefault="00B74028" w:rsidP="00022344">
            <w:r>
              <w:t>Offer courses in intercultural interaction</w:t>
            </w:r>
          </w:p>
        </w:tc>
        <w:tc>
          <w:tcPr>
            <w:tcW w:w="1858" w:type="dxa"/>
          </w:tcPr>
          <w:p w14:paraId="03857314" w14:textId="77777777" w:rsidR="00B74028" w:rsidRPr="008A47D7" w:rsidRDefault="00B74028" w:rsidP="00022344">
            <w:pPr>
              <w:spacing w:after="160" w:line="259" w:lineRule="auto"/>
            </w:pPr>
            <w:r>
              <w:t>POA</w:t>
            </w:r>
          </w:p>
          <w:p w14:paraId="319C6B52" w14:textId="77777777" w:rsidR="00B74028" w:rsidRPr="008A47D7" w:rsidRDefault="00B74028" w:rsidP="00022344">
            <w:pPr>
              <w:spacing w:after="160" w:line="259" w:lineRule="auto"/>
            </w:pPr>
          </w:p>
        </w:tc>
        <w:tc>
          <w:tcPr>
            <w:tcW w:w="1587" w:type="dxa"/>
          </w:tcPr>
          <w:p w14:paraId="788CC332" w14:textId="4D4E9E51" w:rsidR="00B74028" w:rsidRDefault="006B1769" w:rsidP="00022344">
            <w:r>
              <w:t>Annually</w:t>
            </w:r>
          </w:p>
        </w:tc>
      </w:tr>
      <w:tr w:rsidR="00B74028" w:rsidRPr="008A47D7" w14:paraId="7807D719" w14:textId="5AF1653A" w:rsidTr="00B74028">
        <w:trPr>
          <w:trHeight w:val="940"/>
        </w:trPr>
        <w:tc>
          <w:tcPr>
            <w:tcW w:w="2715" w:type="dxa"/>
            <w:vMerge/>
          </w:tcPr>
          <w:p w14:paraId="6E60C919" w14:textId="77777777" w:rsidR="00B74028" w:rsidRPr="008A47D7" w:rsidRDefault="00B74028" w:rsidP="00022344">
            <w:pPr>
              <w:rPr>
                <w:i/>
                <w:iCs/>
              </w:rPr>
            </w:pPr>
          </w:p>
        </w:tc>
        <w:tc>
          <w:tcPr>
            <w:tcW w:w="2856" w:type="dxa"/>
          </w:tcPr>
          <w:p w14:paraId="120FBD52" w14:textId="77777777" w:rsidR="00B74028" w:rsidRDefault="00B74028" w:rsidP="00022344">
            <w:r>
              <w:t>Facilitate onboarding of new employees</w:t>
            </w:r>
          </w:p>
        </w:tc>
        <w:tc>
          <w:tcPr>
            <w:tcW w:w="1858" w:type="dxa"/>
          </w:tcPr>
          <w:p w14:paraId="00DEA25F" w14:textId="1FFCC861" w:rsidR="00B74028" w:rsidRPr="008A47D7" w:rsidRDefault="00B74028" w:rsidP="00022344">
            <w:r>
              <w:t>POA, Position manager</w:t>
            </w:r>
          </w:p>
        </w:tc>
        <w:tc>
          <w:tcPr>
            <w:tcW w:w="1587" w:type="dxa"/>
          </w:tcPr>
          <w:p w14:paraId="79C55BD3" w14:textId="77777777" w:rsidR="00B74028" w:rsidRDefault="00B74028" w:rsidP="00022344"/>
        </w:tc>
      </w:tr>
      <w:tr w:rsidR="00B74028" w:rsidRPr="008A47D7" w14:paraId="03AA57E1" w14:textId="17DDE588" w:rsidTr="00B74028">
        <w:trPr>
          <w:trHeight w:val="620"/>
        </w:trPr>
        <w:tc>
          <w:tcPr>
            <w:tcW w:w="2715" w:type="dxa"/>
            <w:vMerge/>
          </w:tcPr>
          <w:p w14:paraId="5FD3C9F3" w14:textId="77777777" w:rsidR="00B74028" w:rsidRPr="008A47D7" w:rsidRDefault="00B74028" w:rsidP="00022344">
            <w:pPr>
              <w:spacing w:after="160" w:line="259" w:lineRule="auto"/>
              <w:rPr>
                <w:i/>
                <w:iCs/>
              </w:rPr>
            </w:pPr>
          </w:p>
        </w:tc>
        <w:tc>
          <w:tcPr>
            <w:tcW w:w="2856" w:type="dxa"/>
          </w:tcPr>
          <w:p w14:paraId="5AF75BFF" w14:textId="77777777" w:rsidR="00B74028" w:rsidRPr="00F536AF" w:rsidRDefault="00B74028" w:rsidP="00022344">
            <w:r>
              <w:t>Meet the requirements of NMBU’s language policy, including offering Norwegian language courses</w:t>
            </w:r>
          </w:p>
        </w:tc>
        <w:tc>
          <w:tcPr>
            <w:tcW w:w="1858" w:type="dxa"/>
          </w:tcPr>
          <w:p w14:paraId="5E9134FB" w14:textId="77777777" w:rsidR="00B74028" w:rsidRPr="008A47D7" w:rsidRDefault="00B74028" w:rsidP="00022344">
            <w:r>
              <w:t>POA</w:t>
            </w:r>
          </w:p>
        </w:tc>
        <w:tc>
          <w:tcPr>
            <w:tcW w:w="1587" w:type="dxa"/>
          </w:tcPr>
          <w:p w14:paraId="36BB5A1D" w14:textId="19562B25" w:rsidR="00B74028" w:rsidRDefault="002844D4" w:rsidP="00022344">
            <w:r>
              <w:t>Annually</w:t>
            </w:r>
          </w:p>
        </w:tc>
      </w:tr>
      <w:tr w:rsidR="00B74028" w:rsidRPr="008A47D7" w14:paraId="603D673B" w14:textId="6230BFC2" w:rsidTr="00B74028">
        <w:trPr>
          <w:trHeight w:val="620"/>
        </w:trPr>
        <w:tc>
          <w:tcPr>
            <w:tcW w:w="2715" w:type="dxa"/>
            <w:vMerge/>
          </w:tcPr>
          <w:p w14:paraId="38FA0C49" w14:textId="77777777" w:rsidR="00B74028" w:rsidRPr="008A47D7" w:rsidRDefault="00B74028" w:rsidP="00022344">
            <w:pPr>
              <w:rPr>
                <w:i/>
                <w:iCs/>
              </w:rPr>
            </w:pPr>
          </w:p>
        </w:tc>
        <w:tc>
          <w:tcPr>
            <w:tcW w:w="2856" w:type="dxa"/>
          </w:tcPr>
          <w:p w14:paraId="6BB6132D" w14:textId="77777777" w:rsidR="00B74028" w:rsidRDefault="00B74028" w:rsidP="00022344">
            <w:r>
              <w:t xml:space="preserve">Increase the number of professional and social events where (part of) the programme is in </w:t>
            </w:r>
            <w:proofErr w:type="gramStart"/>
            <w:r>
              <w:t>English</w:t>
            </w:r>
            <w:proofErr w:type="gramEnd"/>
            <w:r>
              <w:t xml:space="preserve"> </w:t>
            </w:r>
          </w:p>
          <w:p w14:paraId="430A8A34" w14:textId="77777777" w:rsidR="00B74028" w:rsidRDefault="00B74028" w:rsidP="00022344"/>
        </w:tc>
        <w:tc>
          <w:tcPr>
            <w:tcW w:w="1858" w:type="dxa"/>
          </w:tcPr>
          <w:p w14:paraId="0664B341" w14:textId="460C403F" w:rsidR="00B74028" w:rsidRDefault="00B74028" w:rsidP="00022344">
            <w:r>
              <w:t>Faculties, departments</w:t>
            </w:r>
          </w:p>
        </w:tc>
        <w:tc>
          <w:tcPr>
            <w:tcW w:w="1587" w:type="dxa"/>
          </w:tcPr>
          <w:p w14:paraId="03396FFD" w14:textId="334AEE3A" w:rsidR="00B74028" w:rsidRDefault="00B74028" w:rsidP="00022344"/>
        </w:tc>
      </w:tr>
      <w:tr w:rsidR="00B74028" w:rsidRPr="008A47D7" w14:paraId="715FBA60" w14:textId="75FEBF97" w:rsidTr="00B74028">
        <w:trPr>
          <w:trHeight w:val="1030"/>
        </w:trPr>
        <w:tc>
          <w:tcPr>
            <w:tcW w:w="2715" w:type="dxa"/>
          </w:tcPr>
          <w:p w14:paraId="2EAE1921" w14:textId="77777777" w:rsidR="00B74028" w:rsidRDefault="00B74028" w:rsidP="00022344">
            <w:pPr>
              <w:spacing w:after="160" w:line="259" w:lineRule="auto"/>
              <w:rPr>
                <w:rFonts w:cstheme="minorHAnsi"/>
                <w:i/>
                <w:iCs/>
              </w:rPr>
            </w:pPr>
          </w:p>
          <w:p w14:paraId="6806C088" w14:textId="77777777" w:rsidR="00B74028" w:rsidRPr="008A0EDF" w:rsidRDefault="00B74028" w:rsidP="00022344">
            <w:pPr>
              <w:rPr>
                <w:rFonts w:cstheme="minorHAnsi"/>
                <w:i/>
                <w:iCs/>
              </w:rPr>
            </w:pPr>
            <w:r>
              <w:rPr>
                <w:i/>
                <w:iCs/>
              </w:rPr>
              <w:t xml:space="preserve">Increased competence on diversity recruitment and unconscious bias among employment councils and committees </w:t>
            </w:r>
          </w:p>
          <w:p w14:paraId="66150E6D" w14:textId="77777777" w:rsidR="00B74028" w:rsidRPr="008A47D7" w:rsidRDefault="00B74028" w:rsidP="00022344">
            <w:pPr>
              <w:rPr>
                <w:i/>
                <w:iCs/>
              </w:rPr>
            </w:pPr>
          </w:p>
        </w:tc>
        <w:tc>
          <w:tcPr>
            <w:tcW w:w="2856" w:type="dxa"/>
          </w:tcPr>
          <w:p w14:paraId="6F363859" w14:textId="5CFC2B24" w:rsidR="00B74028" w:rsidRPr="004B187B" w:rsidRDefault="00B74028" w:rsidP="00EE12E0">
            <w:pPr>
              <w:rPr>
                <w:rFonts w:cstheme="minorHAnsi"/>
              </w:rPr>
            </w:pPr>
            <w:r>
              <w:t>Provide access to knowledge about diversity recruitment and unconscious bias</w:t>
            </w:r>
          </w:p>
        </w:tc>
        <w:tc>
          <w:tcPr>
            <w:tcW w:w="1858" w:type="dxa"/>
          </w:tcPr>
          <w:p w14:paraId="0E1C8FBE" w14:textId="77777777" w:rsidR="00B74028" w:rsidRPr="009D6636" w:rsidRDefault="00B74028" w:rsidP="00022344"/>
          <w:p w14:paraId="78C32497" w14:textId="712739A7" w:rsidR="00B74028" w:rsidRPr="008A47D7" w:rsidRDefault="00B74028" w:rsidP="00022344">
            <w:r>
              <w:t>POA, departments, faculties</w:t>
            </w:r>
          </w:p>
        </w:tc>
        <w:tc>
          <w:tcPr>
            <w:tcW w:w="1587" w:type="dxa"/>
          </w:tcPr>
          <w:p w14:paraId="4908EC01" w14:textId="77777777" w:rsidR="00B74028" w:rsidRPr="009D6636" w:rsidRDefault="00B74028" w:rsidP="00022344"/>
        </w:tc>
      </w:tr>
    </w:tbl>
    <w:p w14:paraId="08966EF2" w14:textId="77777777" w:rsidR="00022344" w:rsidRPr="008A47D7" w:rsidRDefault="00022344" w:rsidP="00022344">
      <w:pPr>
        <w:rPr>
          <w:b/>
          <w:bCs/>
        </w:rPr>
      </w:pPr>
      <w:r>
        <w:rPr>
          <w:b/>
          <w:bCs/>
          <w:sz w:val="28"/>
          <w:szCs w:val="28"/>
        </w:rPr>
        <w:t>Gender balance and diversity in recruitment and career development</w:t>
      </w:r>
    </w:p>
    <w:p w14:paraId="3922FC00" w14:textId="77777777" w:rsidR="005831D4" w:rsidRDefault="005831D4" w:rsidP="00E843DB">
      <w:pPr>
        <w:rPr>
          <w:b/>
          <w:bCs/>
          <w:sz w:val="28"/>
          <w:szCs w:val="28"/>
        </w:rPr>
      </w:pPr>
    </w:p>
    <w:p w14:paraId="0A752796" w14:textId="77777777" w:rsidR="005831D4" w:rsidRDefault="005831D4" w:rsidP="00E843DB">
      <w:pPr>
        <w:rPr>
          <w:b/>
          <w:bCs/>
          <w:sz w:val="28"/>
          <w:szCs w:val="28"/>
        </w:rPr>
      </w:pPr>
    </w:p>
    <w:p w14:paraId="7A432CB9" w14:textId="77777777" w:rsidR="005831D4" w:rsidRDefault="005831D4" w:rsidP="00E843DB">
      <w:pPr>
        <w:rPr>
          <w:b/>
          <w:bCs/>
          <w:sz w:val="28"/>
          <w:szCs w:val="28"/>
        </w:rPr>
      </w:pPr>
    </w:p>
    <w:p w14:paraId="6CFC414F" w14:textId="77777777" w:rsidR="005831D4" w:rsidRDefault="005831D4" w:rsidP="00E843DB">
      <w:pPr>
        <w:rPr>
          <w:b/>
          <w:bCs/>
          <w:sz w:val="28"/>
          <w:szCs w:val="28"/>
        </w:rPr>
      </w:pPr>
    </w:p>
    <w:p w14:paraId="6C4AE199" w14:textId="77777777" w:rsidR="005831D4" w:rsidRDefault="005831D4" w:rsidP="00E843DB">
      <w:pPr>
        <w:rPr>
          <w:b/>
          <w:bCs/>
          <w:sz w:val="28"/>
          <w:szCs w:val="28"/>
        </w:rPr>
      </w:pPr>
    </w:p>
    <w:p w14:paraId="33A2D3BA" w14:textId="3010E3EF" w:rsidR="000B2450" w:rsidRDefault="00022344" w:rsidP="000B2450">
      <w:pPr>
        <w:rPr>
          <w:b/>
          <w:bCs/>
          <w:sz w:val="28"/>
          <w:szCs w:val="28"/>
        </w:rPr>
      </w:pPr>
      <w:r>
        <w:rPr>
          <w:b/>
          <w:bCs/>
          <w:sz w:val="28"/>
          <w:szCs w:val="28"/>
        </w:rPr>
        <w:t xml:space="preserve"> </w:t>
      </w:r>
      <w:r>
        <w:rPr>
          <w:b/>
          <w:bCs/>
          <w:sz w:val="28"/>
          <w:szCs w:val="28"/>
        </w:rPr>
        <w:br w:type="column"/>
      </w:r>
      <w:r>
        <w:rPr>
          <w:b/>
          <w:bCs/>
          <w:sz w:val="28"/>
          <w:szCs w:val="28"/>
        </w:rPr>
        <w:lastRenderedPageBreak/>
        <w:t>Gender and diversity perspectives in research and teaching content</w:t>
      </w:r>
    </w:p>
    <w:p w14:paraId="13050904" w14:textId="77777777" w:rsidR="000B2450" w:rsidRPr="00E93005" w:rsidRDefault="000B2450" w:rsidP="000B2450">
      <w:pPr>
        <w:rPr>
          <w:b/>
          <w:bCs/>
          <w:sz w:val="28"/>
          <w:szCs w:val="28"/>
        </w:rPr>
      </w:pPr>
    </w:p>
    <w:p w14:paraId="7AA4FE75" w14:textId="77777777" w:rsidR="000B2450" w:rsidRDefault="000B2450" w:rsidP="000B2450">
      <w:pPr>
        <w:rPr>
          <w:b/>
          <w:bCs/>
          <w:sz w:val="28"/>
          <w:szCs w:val="28"/>
        </w:rPr>
      </w:pPr>
    </w:p>
    <w:p w14:paraId="28AFF44E" w14:textId="1B130593" w:rsidR="000B2450" w:rsidRPr="00E93005" w:rsidRDefault="004120F4" w:rsidP="000B2450">
      <w:pPr>
        <w:rPr>
          <w:b/>
          <w:bCs/>
          <w:sz w:val="28"/>
          <w:szCs w:val="28"/>
        </w:rPr>
      </w:pPr>
      <w:r>
        <w:rPr>
          <w:b/>
          <w:bCs/>
          <w:sz w:val="28"/>
          <w:szCs w:val="28"/>
        </w:rPr>
        <w:t xml:space="preserve">Measures to combat violence and </w:t>
      </w:r>
      <w:proofErr w:type="gramStart"/>
      <w:r>
        <w:rPr>
          <w:b/>
          <w:bCs/>
          <w:sz w:val="28"/>
          <w:szCs w:val="28"/>
        </w:rPr>
        <w:t>harassment</w:t>
      </w:r>
      <w:proofErr w:type="gramEnd"/>
    </w:p>
    <w:p w14:paraId="24673F56" w14:textId="08A1539A" w:rsidR="000B2450" w:rsidRPr="00E843DB" w:rsidRDefault="000B2450" w:rsidP="00E843DB">
      <w:pPr>
        <w:rPr>
          <w:b/>
          <w:bCs/>
          <w:sz w:val="28"/>
          <w:szCs w:val="28"/>
        </w:rPr>
      </w:pPr>
    </w:p>
    <w:tbl>
      <w:tblPr>
        <w:tblStyle w:val="Tabellrutenett"/>
        <w:tblpPr w:leftFromText="141" w:rightFromText="141" w:vertAnchor="page" w:horzAnchor="margin" w:tblpY="2041"/>
        <w:tblW w:w="0" w:type="auto"/>
        <w:tblLook w:val="04A0" w:firstRow="1" w:lastRow="0" w:firstColumn="1" w:lastColumn="0" w:noHBand="0" w:noVBand="1"/>
      </w:tblPr>
      <w:tblGrid>
        <w:gridCol w:w="2567"/>
        <w:gridCol w:w="2668"/>
        <w:gridCol w:w="2365"/>
        <w:gridCol w:w="1416"/>
      </w:tblGrid>
      <w:tr w:rsidR="00B820D5" w:rsidRPr="008A47D7" w14:paraId="4A5BE2B8" w14:textId="08EB81BC" w:rsidTr="00B820D5">
        <w:tc>
          <w:tcPr>
            <w:tcW w:w="2567" w:type="dxa"/>
            <w:shd w:val="clear" w:color="auto" w:fill="009A81"/>
          </w:tcPr>
          <w:p w14:paraId="27F587F5" w14:textId="77777777" w:rsidR="00B820D5" w:rsidRPr="008A47D7" w:rsidRDefault="00B820D5" w:rsidP="000B2450">
            <w:pPr>
              <w:spacing w:after="160" w:line="259" w:lineRule="auto"/>
              <w:rPr>
                <w:b/>
                <w:bCs/>
                <w:color w:val="FFFFFF" w:themeColor="background1"/>
              </w:rPr>
            </w:pPr>
            <w:r>
              <w:rPr>
                <w:b/>
                <w:color w:val="FFFFFF" w:themeColor="background1"/>
              </w:rPr>
              <w:t>Goal</w:t>
            </w:r>
          </w:p>
        </w:tc>
        <w:tc>
          <w:tcPr>
            <w:tcW w:w="2668" w:type="dxa"/>
            <w:shd w:val="clear" w:color="auto" w:fill="009A81"/>
          </w:tcPr>
          <w:p w14:paraId="116D80F2" w14:textId="77777777" w:rsidR="00B820D5" w:rsidRPr="008A47D7" w:rsidRDefault="00B820D5" w:rsidP="000B2450">
            <w:pPr>
              <w:spacing w:after="160" w:line="259" w:lineRule="auto"/>
              <w:rPr>
                <w:b/>
                <w:bCs/>
                <w:color w:val="FFFFFF" w:themeColor="background1"/>
              </w:rPr>
            </w:pPr>
            <w:r>
              <w:rPr>
                <w:b/>
                <w:color w:val="FFFFFF" w:themeColor="background1"/>
              </w:rPr>
              <w:t>Measure</w:t>
            </w:r>
          </w:p>
        </w:tc>
        <w:tc>
          <w:tcPr>
            <w:tcW w:w="2365" w:type="dxa"/>
            <w:shd w:val="clear" w:color="auto" w:fill="009A81"/>
          </w:tcPr>
          <w:p w14:paraId="30F88D92" w14:textId="77777777" w:rsidR="00B820D5" w:rsidRPr="008A47D7" w:rsidRDefault="00B820D5" w:rsidP="000B2450">
            <w:pPr>
              <w:spacing w:after="160" w:line="259" w:lineRule="auto"/>
              <w:rPr>
                <w:b/>
                <w:bCs/>
                <w:color w:val="FFFFFF" w:themeColor="background1"/>
              </w:rPr>
            </w:pPr>
            <w:r>
              <w:rPr>
                <w:b/>
                <w:color w:val="FFFFFF" w:themeColor="background1"/>
              </w:rPr>
              <w:t>Responsibility</w:t>
            </w:r>
          </w:p>
        </w:tc>
        <w:tc>
          <w:tcPr>
            <w:tcW w:w="1416" w:type="dxa"/>
            <w:shd w:val="clear" w:color="auto" w:fill="009A81"/>
          </w:tcPr>
          <w:p w14:paraId="4DDCB188" w14:textId="13948FC5" w:rsidR="00B820D5" w:rsidRPr="008A47D7" w:rsidRDefault="00B820D5" w:rsidP="000B2450">
            <w:pPr>
              <w:rPr>
                <w:b/>
                <w:color w:val="FFFFFF" w:themeColor="background1"/>
              </w:rPr>
            </w:pPr>
            <w:r>
              <w:rPr>
                <w:b/>
                <w:color w:val="FFFFFF" w:themeColor="background1"/>
              </w:rPr>
              <w:t>Deadline</w:t>
            </w:r>
          </w:p>
        </w:tc>
      </w:tr>
      <w:tr w:rsidR="00B820D5" w:rsidRPr="008A47D7" w14:paraId="01EB68E1" w14:textId="3F729D0D" w:rsidTr="00B820D5">
        <w:trPr>
          <w:trHeight w:val="1390"/>
        </w:trPr>
        <w:tc>
          <w:tcPr>
            <w:tcW w:w="2567" w:type="dxa"/>
            <w:vMerge w:val="restart"/>
          </w:tcPr>
          <w:p w14:paraId="42158E07" w14:textId="77777777" w:rsidR="00B820D5" w:rsidRDefault="00B820D5" w:rsidP="000B2450">
            <w:pPr>
              <w:spacing w:after="160" w:line="259" w:lineRule="auto"/>
              <w:rPr>
                <w:i/>
                <w:iCs/>
              </w:rPr>
            </w:pPr>
          </w:p>
          <w:p w14:paraId="4FF66C92" w14:textId="77777777" w:rsidR="00B820D5" w:rsidRDefault="00B820D5" w:rsidP="000B2450">
            <w:pPr>
              <w:spacing w:after="160" w:line="259" w:lineRule="auto"/>
              <w:rPr>
                <w:i/>
                <w:iCs/>
              </w:rPr>
            </w:pPr>
          </w:p>
          <w:p w14:paraId="3BB00890" w14:textId="77777777" w:rsidR="00B820D5" w:rsidRPr="00E4217A" w:rsidRDefault="00B820D5" w:rsidP="000B2450">
            <w:pPr>
              <w:rPr>
                <w:i/>
                <w:iCs/>
              </w:rPr>
            </w:pPr>
            <w:r>
              <w:rPr>
                <w:i/>
                <w:iCs/>
              </w:rPr>
              <w:t xml:space="preserve">Increase the presence of gender and diversity perspectives in research and teaching </w:t>
            </w:r>
            <w:proofErr w:type="gramStart"/>
            <w:r>
              <w:rPr>
                <w:i/>
                <w:iCs/>
              </w:rPr>
              <w:t>content</w:t>
            </w:r>
            <w:proofErr w:type="gramEnd"/>
          </w:p>
          <w:p w14:paraId="6B4548E3" w14:textId="77777777" w:rsidR="00B820D5" w:rsidRDefault="00B820D5" w:rsidP="000B2450">
            <w:pPr>
              <w:spacing w:after="160" w:line="259" w:lineRule="auto"/>
              <w:rPr>
                <w:rFonts w:cstheme="minorHAnsi"/>
                <w:i/>
                <w:iCs/>
              </w:rPr>
            </w:pPr>
          </w:p>
          <w:p w14:paraId="5C0A1EBB" w14:textId="77777777" w:rsidR="00B820D5" w:rsidRPr="008A47D7" w:rsidRDefault="00B820D5" w:rsidP="000B2450">
            <w:pPr>
              <w:rPr>
                <w:i/>
                <w:iCs/>
              </w:rPr>
            </w:pPr>
          </w:p>
        </w:tc>
        <w:tc>
          <w:tcPr>
            <w:tcW w:w="2668" w:type="dxa"/>
          </w:tcPr>
          <w:p w14:paraId="0B49C5ED" w14:textId="77777777" w:rsidR="00B820D5" w:rsidRDefault="00B820D5" w:rsidP="000B2450">
            <w:r>
              <w:t xml:space="preserve">Raise competence and awareness of the relevance of gender and diversity perspectives in curricula and research </w:t>
            </w:r>
            <w:proofErr w:type="gramStart"/>
            <w:r>
              <w:t>projects</w:t>
            </w:r>
            <w:proofErr w:type="gramEnd"/>
          </w:p>
          <w:p w14:paraId="283ACE58" w14:textId="77777777" w:rsidR="00B820D5" w:rsidRPr="004B187B" w:rsidRDefault="00B820D5" w:rsidP="000B2450">
            <w:pPr>
              <w:spacing w:after="160" w:line="259" w:lineRule="auto"/>
              <w:rPr>
                <w:rFonts w:cstheme="minorHAnsi"/>
              </w:rPr>
            </w:pPr>
          </w:p>
        </w:tc>
        <w:tc>
          <w:tcPr>
            <w:tcW w:w="2365" w:type="dxa"/>
          </w:tcPr>
          <w:p w14:paraId="730AD71D" w14:textId="424F5044" w:rsidR="00B820D5" w:rsidRPr="008A47D7" w:rsidRDefault="00B820D5" w:rsidP="000B2450">
            <w:r>
              <w:t xml:space="preserve">Faculties, the Department of </w:t>
            </w:r>
            <w:proofErr w:type="gramStart"/>
            <w:r>
              <w:t>Research</w:t>
            </w:r>
            <w:proofErr w:type="gramEnd"/>
            <w:r>
              <w:t xml:space="preserve"> and the Department of Academic Affairs</w:t>
            </w:r>
          </w:p>
        </w:tc>
        <w:tc>
          <w:tcPr>
            <w:tcW w:w="1416" w:type="dxa"/>
          </w:tcPr>
          <w:p w14:paraId="2AFFE500" w14:textId="77777777" w:rsidR="00B820D5" w:rsidRDefault="00B820D5" w:rsidP="000B2450"/>
        </w:tc>
      </w:tr>
      <w:tr w:rsidR="00B820D5" w:rsidRPr="008A47D7" w14:paraId="7E91ACB6" w14:textId="791D712E" w:rsidTr="00B820D5">
        <w:trPr>
          <w:trHeight w:val="1390"/>
        </w:trPr>
        <w:tc>
          <w:tcPr>
            <w:tcW w:w="2567" w:type="dxa"/>
            <w:vMerge/>
          </w:tcPr>
          <w:p w14:paraId="3F231E3C" w14:textId="77777777" w:rsidR="00B820D5" w:rsidRDefault="00B820D5" w:rsidP="000B2450">
            <w:pPr>
              <w:rPr>
                <w:i/>
                <w:iCs/>
              </w:rPr>
            </w:pPr>
          </w:p>
        </w:tc>
        <w:tc>
          <w:tcPr>
            <w:tcW w:w="2668" w:type="dxa"/>
          </w:tcPr>
          <w:p w14:paraId="414BBADE" w14:textId="0D85F0C7" w:rsidR="00B820D5" w:rsidRDefault="00B820D5" w:rsidP="000B2450">
            <w:r>
              <w:t xml:space="preserve">Make good, recognised guidelines and information material available in order to include gender and diversity perspectives in research projects, across </w:t>
            </w:r>
            <w:proofErr w:type="gramStart"/>
            <w:r>
              <w:t>disciplines</w:t>
            </w:r>
            <w:proofErr w:type="gramEnd"/>
          </w:p>
          <w:p w14:paraId="114CA3AE" w14:textId="77777777" w:rsidR="00B820D5" w:rsidRDefault="00B820D5" w:rsidP="000B2450">
            <w:pPr>
              <w:rPr>
                <w:rFonts w:cstheme="minorHAnsi"/>
              </w:rPr>
            </w:pPr>
          </w:p>
        </w:tc>
        <w:tc>
          <w:tcPr>
            <w:tcW w:w="2365" w:type="dxa"/>
          </w:tcPr>
          <w:p w14:paraId="442FF332" w14:textId="77777777" w:rsidR="00B820D5" w:rsidRPr="008A47D7" w:rsidRDefault="00B820D5" w:rsidP="000B2450">
            <w:r>
              <w:t>POA and the Department of Research</w:t>
            </w:r>
          </w:p>
        </w:tc>
        <w:tc>
          <w:tcPr>
            <w:tcW w:w="1416" w:type="dxa"/>
          </w:tcPr>
          <w:p w14:paraId="798BE745" w14:textId="77777777" w:rsidR="00B820D5" w:rsidRDefault="00B820D5" w:rsidP="000B2450"/>
        </w:tc>
      </w:tr>
    </w:tbl>
    <w:tbl>
      <w:tblPr>
        <w:tblStyle w:val="Tabellrutenett"/>
        <w:tblpPr w:leftFromText="141" w:rightFromText="141" w:vertAnchor="page" w:horzAnchor="margin" w:tblpY="8531"/>
        <w:tblW w:w="0" w:type="auto"/>
        <w:tblLook w:val="04A0" w:firstRow="1" w:lastRow="0" w:firstColumn="1" w:lastColumn="0" w:noHBand="0" w:noVBand="1"/>
      </w:tblPr>
      <w:tblGrid>
        <w:gridCol w:w="2772"/>
        <w:gridCol w:w="3016"/>
        <w:gridCol w:w="1720"/>
        <w:gridCol w:w="1418"/>
      </w:tblGrid>
      <w:tr w:rsidR="00B820D5" w:rsidRPr="008A47D7" w14:paraId="338D9931" w14:textId="3E25E719" w:rsidTr="00B820D5">
        <w:tc>
          <w:tcPr>
            <w:tcW w:w="2772" w:type="dxa"/>
            <w:shd w:val="clear" w:color="auto" w:fill="009A81"/>
          </w:tcPr>
          <w:p w14:paraId="695E3751" w14:textId="77777777" w:rsidR="00B820D5" w:rsidRPr="008A47D7" w:rsidRDefault="00B820D5" w:rsidP="000B2450">
            <w:pPr>
              <w:spacing w:after="160" w:line="259" w:lineRule="auto"/>
              <w:rPr>
                <w:b/>
                <w:bCs/>
                <w:color w:val="FFFFFF" w:themeColor="background1"/>
              </w:rPr>
            </w:pPr>
            <w:bookmarkStart w:id="0" w:name="_Hlk130977769"/>
            <w:r>
              <w:rPr>
                <w:b/>
                <w:color w:val="FFFFFF" w:themeColor="background1"/>
              </w:rPr>
              <w:t>Goal</w:t>
            </w:r>
          </w:p>
        </w:tc>
        <w:tc>
          <w:tcPr>
            <w:tcW w:w="3016" w:type="dxa"/>
            <w:shd w:val="clear" w:color="auto" w:fill="009A81"/>
          </w:tcPr>
          <w:p w14:paraId="5E7D1F60" w14:textId="77777777" w:rsidR="00B820D5" w:rsidRPr="008A47D7" w:rsidRDefault="00B820D5" w:rsidP="000B2450">
            <w:pPr>
              <w:spacing w:after="160" w:line="259" w:lineRule="auto"/>
              <w:rPr>
                <w:b/>
                <w:bCs/>
                <w:color w:val="FFFFFF" w:themeColor="background1"/>
              </w:rPr>
            </w:pPr>
            <w:r>
              <w:rPr>
                <w:b/>
                <w:color w:val="FFFFFF" w:themeColor="background1"/>
              </w:rPr>
              <w:t>Measure</w:t>
            </w:r>
          </w:p>
        </w:tc>
        <w:tc>
          <w:tcPr>
            <w:tcW w:w="1720" w:type="dxa"/>
            <w:shd w:val="clear" w:color="auto" w:fill="009A81"/>
          </w:tcPr>
          <w:p w14:paraId="012996DF" w14:textId="77777777" w:rsidR="00B820D5" w:rsidRPr="008A47D7" w:rsidRDefault="00B820D5" w:rsidP="000B2450">
            <w:pPr>
              <w:spacing w:after="160" w:line="259" w:lineRule="auto"/>
              <w:rPr>
                <w:b/>
                <w:bCs/>
                <w:color w:val="FFFFFF" w:themeColor="background1"/>
              </w:rPr>
            </w:pPr>
            <w:r>
              <w:rPr>
                <w:b/>
                <w:color w:val="FFFFFF" w:themeColor="background1"/>
              </w:rPr>
              <w:t>Responsibility</w:t>
            </w:r>
          </w:p>
        </w:tc>
        <w:tc>
          <w:tcPr>
            <w:tcW w:w="1418" w:type="dxa"/>
            <w:shd w:val="clear" w:color="auto" w:fill="009A81"/>
          </w:tcPr>
          <w:p w14:paraId="4F1F71E6" w14:textId="77AFD72D" w:rsidR="00B820D5" w:rsidRPr="008A47D7" w:rsidRDefault="00B820D5" w:rsidP="000B2450">
            <w:pPr>
              <w:rPr>
                <w:b/>
                <w:color w:val="FFFFFF" w:themeColor="background1"/>
              </w:rPr>
            </w:pPr>
            <w:r>
              <w:rPr>
                <w:b/>
                <w:color w:val="FFFFFF" w:themeColor="background1"/>
              </w:rPr>
              <w:t>Deadline</w:t>
            </w:r>
          </w:p>
        </w:tc>
      </w:tr>
      <w:tr w:rsidR="00B820D5" w:rsidRPr="008A47D7" w14:paraId="114867DF" w14:textId="2A510B64" w:rsidTr="00B820D5">
        <w:trPr>
          <w:trHeight w:val="1390"/>
        </w:trPr>
        <w:tc>
          <w:tcPr>
            <w:tcW w:w="2772" w:type="dxa"/>
            <w:vMerge w:val="restart"/>
          </w:tcPr>
          <w:p w14:paraId="5A3ABEC6" w14:textId="77777777" w:rsidR="00B820D5" w:rsidRDefault="00B820D5" w:rsidP="000B2450">
            <w:pPr>
              <w:spacing w:after="160" w:line="259" w:lineRule="auto"/>
              <w:rPr>
                <w:i/>
                <w:iCs/>
              </w:rPr>
            </w:pPr>
          </w:p>
          <w:p w14:paraId="1AB58C55" w14:textId="77777777" w:rsidR="00B820D5" w:rsidRPr="00AD28C9" w:rsidRDefault="00B820D5" w:rsidP="000B2450">
            <w:pPr>
              <w:rPr>
                <w:i/>
                <w:iCs/>
              </w:rPr>
            </w:pPr>
            <w:r>
              <w:rPr>
                <w:i/>
                <w:iCs/>
              </w:rPr>
              <w:t>Raise awareness and competence among employees, managers and students about discrimination and all types of harassment. All employees and students are familiar with NMBU’s whistleblowing system.</w:t>
            </w:r>
          </w:p>
          <w:p w14:paraId="41D5654E" w14:textId="77777777" w:rsidR="00B820D5" w:rsidRPr="008A47D7" w:rsidRDefault="00B820D5" w:rsidP="000B2450">
            <w:pPr>
              <w:rPr>
                <w:i/>
                <w:iCs/>
              </w:rPr>
            </w:pPr>
          </w:p>
        </w:tc>
        <w:tc>
          <w:tcPr>
            <w:tcW w:w="3016" w:type="dxa"/>
          </w:tcPr>
          <w:p w14:paraId="329C45AB" w14:textId="7C630A81" w:rsidR="00B820D5" w:rsidRDefault="00B820D5" w:rsidP="000B2450">
            <w:r>
              <w:t xml:space="preserve">Communication campaigns about harassment, how the whistleblowing systems work, and that it is possible to report </w:t>
            </w:r>
            <w:proofErr w:type="gramStart"/>
            <w:r>
              <w:t>anonymously</w:t>
            </w:r>
            <w:proofErr w:type="gramEnd"/>
          </w:p>
          <w:p w14:paraId="30296CEA" w14:textId="77777777" w:rsidR="00B820D5" w:rsidRPr="004B187B" w:rsidRDefault="00B820D5" w:rsidP="000B2450">
            <w:pPr>
              <w:rPr>
                <w:rFonts w:cstheme="minorHAnsi"/>
              </w:rPr>
            </w:pPr>
          </w:p>
        </w:tc>
        <w:tc>
          <w:tcPr>
            <w:tcW w:w="1720" w:type="dxa"/>
          </w:tcPr>
          <w:p w14:paraId="404424E6" w14:textId="77777777" w:rsidR="00B820D5" w:rsidRPr="008A47D7" w:rsidRDefault="00B820D5" w:rsidP="000B2450">
            <w:r>
              <w:t>POA</w:t>
            </w:r>
          </w:p>
        </w:tc>
        <w:tc>
          <w:tcPr>
            <w:tcW w:w="1418" w:type="dxa"/>
          </w:tcPr>
          <w:p w14:paraId="022ECA3B" w14:textId="77777777" w:rsidR="00B820D5" w:rsidRDefault="00B820D5" w:rsidP="000B2450"/>
        </w:tc>
      </w:tr>
      <w:tr w:rsidR="00B820D5" w:rsidRPr="008A47D7" w14:paraId="6CAC9F6B" w14:textId="4C8C56D7" w:rsidTr="00B820D5">
        <w:trPr>
          <w:trHeight w:val="1390"/>
        </w:trPr>
        <w:tc>
          <w:tcPr>
            <w:tcW w:w="2772" w:type="dxa"/>
            <w:vMerge/>
          </w:tcPr>
          <w:p w14:paraId="21C58119" w14:textId="77777777" w:rsidR="00B820D5" w:rsidRDefault="00B820D5" w:rsidP="000B2450">
            <w:pPr>
              <w:rPr>
                <w:i/>
                <w:iCs/>
              </w:rPr>
            </w:pPr>
          </w:p>
        </w:tc>
        <w:tc>
          <w:tcPr>
            <w:tcW w:w="3016" w:type="dxa"/>
          </w:tcPr>
          <w:p w14:paraId="30F66091" w14:textId="5AFA28B5" w:rsidR="00B820D5" w:rsidRPr="0088627A" w:rsidRDefault="00F61996" w:rsidP="000B2450">
            <w:pPr>
              <w:rPr>
                <w:b/>
                <w:bCs/>
              </w:rPr>
            </w:pPr>
            <w:r>
              <w:t xml:space="preserve">Obtain an overview of the number and severity of both formal and informal </w:t>
            </w:r>
            <w:proofErr w:type="gramStart"/>
            <w:r>
              <w:t>complaints</w:t>
            </w:r>
            <w:proofErr w:type="gramEnd"/>
            <w:r>
              <w:t xml:space="preserve"> </w:t>
            </w:r>
          </w:p>
          <w:p w14:paraId="76E37543" w14:textId="77777777" w:rsidR="00B820D5" w:rsidRDefault="00B820D5" w:rsidP="000B2450">
            <w:pPr>
              <w:rPr>
                <w:rFonts w:cstheme="minorHAnsi"/>
              </w:rPr>
            </w:pPr>
          </w:p>
        </w:tc>
        <w:tc>
          <w:tcPr>
            <w:tcW w:w="1720" w:type="dxa"/>
          </w:tcPr>
          <w:p w14:paraId="0F167C56" w14:textId="77777777" w:rsidR="00B820D5" w:rsidRPr="008A47D7" w:rsidRDefault="00B820D5" w:rsidP="000B2450">
            <w:r>
              <w:t xml:space="preserve">POA </w:t>
            </w:r>
          </w:p>
        </w:tc>
        <w:tc>
          <w:tcPr>
            <w:tcW w:w="1418" w:type="dxa"/>
          </w:tcPr>
          <w:p w14:paraId="3EEC483A" w14:textId="77777777" w:rsidR="00B820D5" w:rsidRDefault="00B820D5" w:rsidP="000B2450"/>
        </w:tc>
      </w:tr>
      <w:bookmarkEnd w:id="0"/>
    </w:tbl>
    <w:p w14:paraId="3A3D14C7" w14:textId="79B15DC5" w:rsidR="00E843DB" w:rsidRPr="00E843DB" w:rsidRDefault="00E843DB" w:rsidP="00E843DB">
      <w:pPr>
        <w:rPr>
          <w:b/>
          <w:bCs/>
          <w:sz w:val="28"/>
          <w:szCs w:val="28"/>
        </w:rPr>
      </w:pPr>
    </w:p>
    <w:p w14:paraId="02DDBF8D" w14:textId="15891658" w:rsidR="008A47D7" w:rsidRDefault="008A47D7">
      <w:bookmarkStart w:id="1" w:name="_Hlk130975963"/>
    </w:p>
    <w:p w14:paraId="472AFBBF" w14:textId="68BCA9FF" w:rsidR="0012491F" w:rsidRDefault="0012491F"/>
    <w:bookmarkEnd w:id="1"/>
    <w:p w14:paraId="65BC3946" w14:textId="77777777" w:rsidR="004120F4" w:rsidRPr="00022344" w:rsidRDefault="00F51BE3" w:rsidP="004120F4">
      <w:pPr>
        <w:tabs>
          <w:tab w:val="left" w:pos="930"/>
        </w:tabs>
      </w:pPr>
      <w:r>
        <w:br w:type="column"/>
      </w:r>
      <w:r>
        <w:rPr>
          <w:b/>
          <w:bCs/>
          <w:sz w:val="28"/>
          <w:szCs w:val="28"/>
        </w:rPr>
        <w:lastRenderedPageBreak/>
        <w:t>Institutional structures</w:t>
      </w:r>
    </w:p>
    <w:p w14:paraId="4B8E9AF1" w14:textId="00EE0F0C" w:rsidR="004120F4" w:rsidRPr="004120F4" w:rsidRDefault="004120F4" w:rsidP="004120F4">
      <w:pPr>
        <w:rPr>
          <w:b/>
          <w:bCs/>
        </w:rPr>
      </w:pPr>
    </w:p>
    <w:tbl>
      <w:tblPr>
        <w:tblStyle w:val="Tabellrutenett"/>
        <w:tblpPr w:leftFromText="141" w:rightFromText="141" w:vertAnchor="page" w:horzAnchor="margin" w:tblpY="2021"/>
        <w:tblW w:w="9666" w:type="dxa"/>
        <w:tblLayout w:type="fixed"/>
        <w:tblLook w:val="04A0" w:firstRow="1" w:lastRow="0" w:firstColumn="1" w:lastColumn="0" w:noHBand="0" w:noVBand="1"/>
      </w:tblPr>
      <w:tblGrid>
        <w:gridCol w:w="2867"/>
        <w:gridCol w:w="3051"/>
        <w:gridCol w:w="2157"/>
        <w:gridCol w:w="1591"/>
      </w:tblGrid>
      <w:tr w:rsidR="00B820D5" w:rsidRPr="0011341A" w14:paraId="76F8C95A" w14:textId="55EFF507" w:rsidTr="00C93598">
        <w:tc>
          <w:tcPr>
            <w:tcW w:w="2867" w:type="dxa"/>
            <w:shd w:val="clear" w:color="auto" w:fill="009A81"/>
          </w:tcPr>
          <w:p w14:paraId="38DAEEDC" w14:textId="77777777" w:rsidR="00B820D5" w:rsidRPr="0011341A" w:rsidRDefault="00B820D5" w:rsidP="004120F4">
            <w:pPr>
              <w:spacing w:after="160" w:line="259" w:lineRule="auto"/>
              <w:rPr>
                <w:b/>
                <w:bCs/>
                <w:color w:val="FFFFFF" w:themeColor="background1"/>
              </w:rPr>
            </w:pPr>
            <w:r>
              <w:rPr>
                <w:b/>
                <w:color w:val="FFFFFF" w:themeColor="background1"/>
              </w:rPr>
              <w:t>Goal</w:t>
            </w:r>
          </w:p>
        </w:tc>
        <w:tc>
          <w:tcPr>
            <w:tcW w:w="3051" w:type="dxa"/>
            <w:shd w:val="clear" w:color="auto" w:fill="009A81"/>
          </w:tcPr>
          <w:p w14:paraId="420A498F" w14:textId="77777777" w:rsidR="00B820D5" w:rsidRPr="0011341A" w:rsidRDefault="00B820D5" w:rsidP="004120F4">
            <w:pPr>
              <w:spacing w:after="160" w:line="259" w:lineRule="auto"/>
              <w:rPr>
                <w:b/>
                <w:bCs/>
                <w:color w:val="FFFFFF" w:themeColor="background1"/>
              </w:rPr>
            </w:pPr>
            <w:r>
              <w:rPr>
                <w:b/>
                <w:color w:val="FFFFFF" w:themeColor="background1"/>
              </w:rPr>
              <w:t>Measure</w:t>
            </w:r>
          </w:p>
        </w:tc>
        <w:tc>
          <w:tcPr>
            <w:tcW w:w="2157" w:type="dxa"/>
            <w:shd w:val="clear" w:color="auto" w:fill="009A81"/>
          </w:tcPr>
          <w:p w14:paraId="1FB4D269" w14:textId="77777777" w:rsidR="00B820D5" w:rsidRPr="0011341A" w:rsidRDefault="00B820D5" w:rsidP="004120F4">
            <w:pPr>
              <w:spacing w:after="160" w:line="259" w:lineRule="auto"/>
              <w:rPr>
                <w:b/>
                <w:bCs/>
                <w:color w:val="FFFFFF" w:themeColor="background1"/>
              </w:rPr>
            </w:pPr>
            <w:r>
              <w:rPr>
                <w:b/>
                <w:color w:val="FFFFFF" w:themeColor="background1"/>
              </w:rPr>
              <w:t>Responsibility</w:t>
            </w:r>
          </w:p>
        </w:tc>
        <w:tc>
          <w:tcPr>
            <w:tcW w:w="1591" w:type="dxa"/>
            <w:shd w:val="clear" w:color="auto" w:fill="009A81"/>
          </w:tcPr>
          <w:p w14:paraId="7197EFEC" w14:textId="5CEA602B" w:rsidR="00B820D5" w:rsidRPr="0011341A" w:rsidRDefault="00B820D5" w:rsidP="004120F4">
            <w:pPr>
              <w:rPr>
                <w:b/>
                <w:color w:val="FFFFFF" w:themeColor="background1"/>
              </w:rPr>
            </w:pPr>
            <w:r>
              <w:rPr>
                <w:b/>
                <w:color w:val="FFFFFF" w:themeColor="background1"/>
              </w:rPr>
              <w:t>Deadline</w:t>
            </w:r>
          </w:p>
        </w:tc>
      </w:tr>
      <w:tr w:rsidR="00B820D5" w:rsidRPr="0011341A" w14:paraId="3E89DDCD" w14:textId="68C330D8" w:rsidTr="00C93598">
        <w:trPr>
          <w:trHeight w:val="1227"/>
        </w:trPr>
        <w:tc>
          <w:tcPr>
            <w:tcW w:w="2867" w:type="dxa"/>
            <w:vMerge w:val="restart"/>
          </w:tcPr>
          <w:p w14:paraId="41517F46" w14:textId="77777777" w:rsidR="00B820D5" w:rsidRPr="0011341A" w:rsidRDefault="00B820D5" w:rsidP="004120F4">
            <w:pPr>
              <w:spacing w:after="160" w:line="259" w:lineRule="auto"/>
              <w:rPr>
                <w:i/>
                <w:iCs/>
              </w:rPr>
            </w:pPr>
          </w:p>
          <w:p w14:paraId="6E8C8AC0" w14:textId="77777777" w:rsidR="00B820D5" w:rsidRDefault="00B820D5" w:rsidP="004120F4">
            <w:pPr>
              <w:rPr>
                <w:i/>
                <w:iCs/>
              </w:rPr>
            </w:pPr>
          </w:p>
          <w:p w14:paraId="20B3DE4A" w14:textId="77777777" w:rsidR="00B820D5" w:rsidRDefault="00B820D5" w:rsidP="004120F4">
            <w:pPr>
              <w:rPr>
                <w:i/>
                <w:iCs/>
              </w:rPr>
            </w:pPr>
          </w:p>
          <w:p w14:paraId="2F637E26" w14:textId="77777777" w:rsidR="00B820D5" w:rsidRDefault="00B820D5" w:rsidP="004120F4">
            <w:pPr>
              <w:rPr>
                <w:i/>
                <w:iCs/>
              </w:rPr>
            </w:pPr>
          </w:p>
          <w:p w14:paraId="16EB334D" w14:textId="77777777" w:rsidR="00B820D5" w:rsidRDefault="00B820D5" w:rsidP="004120F4">
            <w:pPr>
              <w:rPr>
                <w:i/>
                <w:iCs/>
              </w:rPr>
            </w:pPr>
          </w:p>
          <w:p w14:paraId="581BCCFD" w14:textId="77777777" w:rsidR="00B820D5" w:rsidRPr="004C0E2B" w:rsidRDefault="00B820D5" w:rsidP="004120F4">
            <w:pPr>
              <w:rPr>
                <w:i/>
                <w:iCs/>
              </w:rPr>
            </w:pPr>
            <w:r>
              <w:rPr>
                <w:i/>
                <w:iCs/>
              </w:rPr>
              <w:t xml:space="preserve">Comply with the activity and reporting duty and meet the requirements of the EU and the Research Council of Norway for work on gender balance and </w:t>
            </w:r>
            <w:proofErr w:type="gramStart"/>
            <w:r>
              <w:rPr>
                <w:i/>
                <w:iCs/>
              </w:rPr>
              <w:t>diversity</w:t>
            </w:r>
            <w:proofErr w:type="gramEnd"/>
            <w:r>
              <w:rPr>
                <w:i/>
                <w:iCs/>
              </w:rPr>
              <w:t xml:space="preserve"> </w:t>
            </w:r>
          </w:p>
          <w:p w14:paraId="3D93F2B5" w14:textId="77777777" w:rsidR="00B820D5" w:rsidRPr="0011341A" w:rsidRDefault="00B820D5" w:rsidP="004120F4">
            <w:pPr>
              <w:spacing w:after="160" w:line="259" w:lineRule="auto"/>
              <w:rPr>
                <w:i/>
                <w:iCs/>
              </w:rPr>
            </w:pPr>
          </w:p>
        </w:tc>
        <w:tc>
          <w:tcPr>
            <w:tcW w:w="3051" w:type="dxa"/>
          </w:tcPr>
          <w:p w14:paraId="6FD2D9B3" w14:textId="3BA61A5C" w:rsidR="00B820D5" w:rsidRPr="00C11792" w:rsidRDefault="00B820D5" w:rsidP="004120F4">
            <w:r>
              <w:t>Establish a working group to select annual priorities and follow up the action plan, which is coordinated by POA</w:t>
            </w:r>
          </w:p>
        </w:tc>
        <w:tc>
          <w:tcPr>
            <w:tcW w:w="2157" w:type="dxa"/>
          </w:tcPr>
          <w:p w14:paraId="06F6A0F7" w14:textId="2C203357" w:rsidR="00B820D5" w:rsidRPr="00C11792" w:rsidRDefault="00B820D5" w:rsidP="004120F4">
            <w:pPr>
              <w:spacing w:after="160" w:line="259" w:lineRule="auto"/>
            </w:pPr>
            <w:r>
              <w:t>Rector/POA</w:t>
            </w:r>
          </w:p>
        </w:tc>
        <w:tc>
          <w:tcPr>
            <w:tcW w:w="1591" w:type="dxa"/>
          </w:tcPr>
          <w:p w14:paraId="2335C48F" w14:textId="4F70103F" w:rsidR="00B820D5" w:rsidRPr="00C11792" w:rsidRDefault="00AF6D4D" w:rsidP="004120F4">
            <w:r>
              <w:t>August 2023</w:t>
            </w:r>
          </w:p>
        </w:tc>
      </w:tr>
      <w:tr w:rsidR="00B820D5" w:rsidRPr="0011341A" w14:paraId="1B301CD7" w14:textId="3A365996" w:rsidTr="00C93598">
        <w:trPr>
          <w:trHeight w:val="1799"/>
        </w:trPr>
        <w:tc>
          <w:tcPr>
            <w:tcW w:w="2867" w:type="dxa"/>
            <w:vMerge/>
          </w:tcPr>
          <w:p w14:paraId="4A0ED28B" w14:textId="77777777" w:rsidR="00B820D5" w:rsidRPr="0011341A" w:rsidRDefault="00B820D5" w:rsidP="004120F4">
            <w:pPr>
              <w:rPr>
                <w:i/>
                <w:iCs/>
              </w:rPr>
            </w:pPr>
          </w:p>
        </w:tc>
        <w:tc>
          <w:tcPr>
            <w:tcW w:w="3051" w:type="dxa"/>
          </w:tcPr>
          <w:p w14:paraId="35B00CDE" w14:textId="77777777" w:rsidR="00B820D5" w:rsidRDefault="00B820D5" w:rsidP="004120F4">
            <w:r>
              <w:t xml:space="preserve">Annual report on equality and diversity, which includes up-to-date indicators, including a gender pay gap review and mapping of involuntary part-time work at least every two </w:t>
            </w:r>
            <w:proofErr w:type="gramStart"/>
            <w:r>
              <w:t>years</w:t>
            </w:r>
            <w:proofErr w:type="gramEnd"/>
            <w:r>
              <w:tab/>
            </w:r>
          </w:p>
          <w:p w14:paraId="3DEA697B" w14:textId="77777777" w:rsidR="00B820D5" w:rsidRDefault="00B820D5" w:rsidP="004120F4"/>
        </w:tc>
        <w:tc>
          <w:tcPr>
            <w:tcW w:w="2157" w:type="dxa"/>
          </w:tcPr>
          <w:p w14:paraId="64DD5C70" w14:textId="77777777" w:rsidR="00B820D5" w:rsidRPr="0011341A" w:rsidRDefault="00B820D5" w:rsidP="004120F4">
            <w:r>
              <w:t>POA</w:t>
            </w:r>
          </w:p>
        </w:tc>
        <w:tc>
          <w:tcPr>
            <w:tcW w:w="1591" w:type="dxa"/>
          </w:tcPr>
          <w:p w14:paraId="5217AA4E" w14:textId="05907F88" w:rsidR="00B820D5" w:rsidRDefault="00AF6D4D" w:rsidP="004120F4">
            <w:r>
              <w:t>Annually</w:t>
            </w:r>
          </w:p>
        </w:tc>
      </w:tr>
      <w:tr w:rsidR="00B820D5" w:rsidRPr="0011341A" w14:paraId="7E92771D" w14:textId="24DD050C" w:rsidTr="00C93598">
        <w:trPr>
          <w:trHeight w:val="695"/>
        </w:trPr>
        <w:tc>
          <w:tcPr>
            <w:tcW w:w="2867" w:type="dxa"/>
            <w:vMerge/>
          </w:tcPr>
          <w:p w14:paraId="1FCF2A04" w14:textId="77777777" w:rsidR="00B820D5" w:rsidRPr="0011341A" w:rsidRDefault="00B820D5" w:rsidP="004120F4">
            <w:pPr>
              <w:spacing w:after="160" w:line="259" w:lineRule="auto"/>
              <w:rPr>
                <w:i/>
                <w:iCs/>
              </w:rPr>
            </w:pPr>
          </w:p>
        </w:tc>
        <w:tc>
          <w:tcPr>
            <w:tcW w:w="3051" w:type="dxa"/>
          </w:tcPr>
          <w:p w14:paraId="698BA0FC" w14:textId="77777777" w:rsidR="00B820D5" w:rsidRDefault="00B820D5" w:rsidP="004120F4">
            <w:r>
              <w:t xml:space="preserve">Revise the action plan for equality, diversity and inclusion every four years, or as </w:t>
            </w:r>
            <w:proofErr w:type="gramStart"/>
            <w:r>
              <w:t>necessary</w:t>
            </w:r>
            <w:proofErr w:type="gramEnd"/>
          </w:p>
          <w:p w14:paraId="2CABD2F7" w14:textId="77777777" w:rsidR="00B820D5" w:rsidRPr="0011341A" w:rsidRDefault="00B820D5" w:rsidP="004120F4"/>
        </w:tc>
        <w:tc>
          <w:tcPr>
            <w:tcW w:w="2157" w:type="dxa"/>
          </w:tcPr>
          <w:p w14:paraId="56C92B64" w14:textId="77777777" w:rsidR="00B820D5" w:rsidRPr="0011341A" w:rsidRDefault="00B820D5" w:rsidP="004120F4">
            <w:pPr>
              <w:spacing w:after="160" w:line="259" w:lineRule="auto"/>
            </w:pPr>
            <w:r>
              <w:t xml:space="preserve">POA </w:t>
            </w:r>
          </w:p>
        </w:tc>
        <w:tc>
          <w:tcPr>
            <w:tcW w:w="1591" w:type="dxa"/>
          </w:tcPr>
          <w:p w14:paraId="4E176FA1" w14:textId="77A68C19" w:rsidR="00B820D5" w:rsidRPr="0011341A" w:rsidRDefault="00AF6D4D" w:rsidP="004120F4">
            <w:r>
              <w:t>June 2023</w:t>
            </w:r>
          </w:p>
        </w:tc>
      </w:tr>
      <w:tr w:rsidR="00B820D5" w:rsidRPr="0011341A" w14:paraId="019ACD63" w14:textId="07AFC31F" w:rsidTr="00C93598">
        <w:trPr>
          <w:trHeight w:val="695"/>
        </w:trPr>
        <w:tc>
          <w:tcPr>
            <w:tcW w:w="2867" w:type="dxa"/>
            <w:vMerge/>
          </w:tcPr>
          <w:p w14:paraId="53F080EE" w14:textId="77777777" w:rsidR="00B820D5" w:rsidRPr="0011341A" w:rsidRDefault="00B820D5" w:rsidP="004120F4">
            <w:pPr>
              <w:rPr>
                <w:i/>
                <w:iCs/>
              </w:rPr>
            </w:pPr>
          </w:p>
        </w:tc>
        <w:tc>
          <w:tcPr>
            <w:tcW w:w="3051" w:type="dxa"/>
          </w:tcPr>
          <w:p w14:paraId="4C8F0BCB" w14:textId="57E350BE" w:rsidR="00B820D5" w:rsidRDefault="00B820D5" w:rsidP="004120F4">
            <w:r>
              <w:t xml:space="preserve">Universal design of </w:t>
            </w:r>
            <w:proofErr w:type="gramStart"/>
            <w:r>
              <w:t>work spaces</w:t>
            </w:r>
            <w:proofErr w:type="gramEnd"/>
            <w:r>
              <w:t xml:space="preserve"> (physical and digital)</w:t>
            </w:r>
          </w:p>
          <w:p w14:paraId="26C442B7" w14:textId="77777777" w:rsidR="00B820D5" w:rsidRDefault="00B820D5" w:rsidP="004120F4"/>
        </w:tc>
        <w:tc>
          <w:tcPr>
            <w:tcW w:w="2157" w:type="dxa"/>
          </w:tcPr>
          <w:p w14:paraId="52402365" w14:textId="16FFEF8C" w:rsidR="00B820D5" w:rsidRPr="0011341A" w:rsidRDefault="00B820D5" w:rsidP="004120F4">
            <w:r>
              <w:t xml:space="preserve">EIA, KOM, </w:t>
            </w:r>
            <w:proofErr w:type="spellStart"/>
            <w:r>
              <w:t>SiT</w:t>
            </w:r>
            <w:proofErr w:type="spellEnd"/>
            <w:r>
              <w:t>, DOK</w:t>
            </w:r>
            <w:r w:rsidR="00C232FD">
              <w:t xml:space="preserve"> </w:t>
            </w:r>
          </w:p>
        </w:tc>
        <w:tc>
          <w:tcPr>
            <w:tcW w:w="1591" w:type="dxa"/>
          </w:tcPr>
          <w:p w14:paraId="7CDD2C10" w14:textId="77777777" w:rsidR="00B820D5" w:rsidRDefault="00B820D5" w:rsidP="004120F4"/>
        </w:tc>
      </w:tr>
      <w:tr w:rsidR="00B820D5" w:rsidRPr="0011341A" w14:paraId="7B7D5D60" w14:textId="26F9583B" w:rsidTr="00C93598">
        <w:trPr>
          <w:trHeight w:val="718"/>
        </w:trPr>
        <w:tc>
          <w:tcPr>
            <w:tcW w:w="2867" w:type="dxa"/>
            <w:vMerge w:val="restart"/>
          </w:tcPr>
          <w:p w14:paraId="2AC5ED76" w14:textId="77777777" w:rsidR="00B820D5" w:rsidRDefault="00B820D5" w:rsidP="004120F4">
            <w:pPr>
              <w:rPr>
                <w:i/>
                <w:iCs/>
              </w:rPr>
            </w:pPr>
          </w:p>
          <w:p w14:paraId="06339EF0" w14:textId="305653CE" w:rsidR="00B820D5" w:rsidRDefault="00B820D5" w:rsidP="004120F4">
            <w:pPr>
              <w:rPr>
                <w:i/>
                <w:iCs/>
              </w:rPr>
            </w:pPr>
            <w:r>
              <w:rPr>
                <w:i/>
                <w:iCs/>
              </w:rPr>
              <w:t xml:space="preserve">Coordinate equality, </w:t>
            </w:r>
            <w:proofErr w:type="gramStart"/>
            <w:r>
              <w:rPr>
                <w:i/>
                <w:iCs/>
              </w:rPr>
              <w:t>diversity</w:t>
            </w:r>
            <w:proofErr w:type="gramEnd"/>
            <w:r>
              <w:rPr>
                <w:i/>
                <w:iCs/>
              </w:rPr>
              <w:t xml:space="preserve"> and inclusion efforts</w:t>
            </w:r>
          </w:p>
          <w:p w14:paraId="05651EB7" w14:textId="77777777" w:rsidR="00B820D5" w:rsidRDefault="00B820D5" w:rsidP="004120F4">
            <w:pPr>
              <w:rPr>
                <w:i/>
                <w:iCs/>
              </w:rPr>
            </w:pPr>
          </w:p>
          <w:p w14:paraId="1358132F" w14:textId="77777777" w:rsidR="00B820D5" w:rsidRDefault="00B820D5" w:rsidP="004120F4">
            <w:pPr>
              <w:rPr>
                <w:i/>
                <w:iCs/>
              </w:rPr>
            </w:pPr>
          </w:p>
          <w:p w14:paraId="34E4B2DA" w14:textId="77777777" w:rsidR="00B820D5" w:rsidRDefault="00B820D5" w:rsidP="004120F4">
            <w:pPr>
              <w:rPr>
                <w:i/>
                <w:iCs/>
              </w:rPr>
            </w:pPr>
          </w:p>
          <w:p w14:paraId="44AE1CF0" w14:textId="77777777" w:rsidR="00B820D5" w:rsidRPr="0011341A" w:rsidRDefault="00B820D5" w:rsidP="004120F4">
            <w:pPr>
              <w:rPr>
                <w:i/>
                <w:iCs/>
              </w:rPr>
            </w:pPr>
          </w:p>
        </w:tc>
        <w:tc>
          <w:tcPr>
            <w:tcW w:w="3051" w:type="dxa"/>
          </w:tcPr>
          <w:p w14:paraId="66990D2C" w14:textId="7FC45C6E" w:rsidR="00B820D5" w:rsidRDefault="00B820D5" w:rsidP="004120F4">
            <w:r>
              <w:t xml:space="preserve">Maintain the scheme of equality and diversity contact persons at each </w:t>
            </w:r>
            <w:proofErr w:type="gramStart"/>
            <w:r>
              <w:t>faculty</w:t>
            </w:r>
            <w:proofErr w:type="gramEnd"/>
          </w:p>
          <w:p w14:paraId="189B3B63" w14:textId="77777777" w:rsidR="00B820D5" w:rsidRDefault="00B820D5" w:rsidP="004120F4"/>
        </w:tc>
        <w:tc>
          <w:tcPr>
            <w:tcW w:w="2157" w:type="dxa"/>
          </w:tcPr>
          <w:p w14:paraId="1641F5BF" w14:textId="77777777" w:rsidR="00B820D5" w:rsidRDefault="00B820D5" w:rsidP="004120F4">
            <w:r>
              <w:t>Faculties</w:t>
            </w:r>
          </w:p>
        </w:tc>
        <w:tc>
          <w:tcPr>
            <w:tcW w:w="1591" w:type="dxa"/>
          </w:tcPr>
          <w:p w14:paraId="46BA83CF" w14:textId="1B8940EC" w:rsidR="00B820D5" w:rsidRDefault="00AF6D4D" w:rsidP="004120F4">
            <w:r>
              <w:t>December 2025</w:t>
            </w:r>
          </w:p>
        </w:tc>
      </w:tr>
      <w:tr w:rsidR="00B820D5" w:rsidRPr="0011341A" w14:paraId="453665EC" w14:textId="67B694A8" w:rsidTr="00C93598">
        <w:trPr>
          <w:trHeight w:val="716"/>
        </w:trPr>
        <w:tc>
          <w:tcPr>
            <w:tcW w:w="2867" w:type="dxa"/>
            <w:vMerge/>
          </w:tcPr>
          <w:p w14:paraId="13742689" w14:textId="77777777" w:rsidR="00B820D5" w:rsidRDefault="00B820D5" w:rsidP="004120F4">
            <w:pPr>
              <w:rPr>
                <w:i/>
                <w:iCs/>
              </w:rPr>
            </w:pPr>
          </w:p>
        </w:tc>
        <w:tc>
          <w:tcPr>
            <w:tcW w:w="3051" w:type="dxa"/>
          </w:tcPr>
          <w:p w14:paraId="69F71695" w14:textId="77777777" w:rsidR="00B820D5" w:rsidRDefault="00B820D5" w:rsidP="004120F4">
            <w:r>
              <w:t xml:space="preserve">Two annual meetings of the Equality and Diversity Committee </w:t>
            </w:r>
          </w:p>
          <w:p w14:paraId="472A308A" w14:textId="77777777" w:rsidR="00B820D5" w:rsidRDefault="00B820D5" w:rsidP="004120F4"/>
        </w:tc>
        <w:tc>
          <w:tcPr>
            <w:tcW w:w="2157" w:type="dxa"/>
          </w:tcPr>
          <w:p w14:paraId="3894F2E1" w14:textId="77777777" w:rsidR="00B820D5" w:rsidRDefault="00B820D5" w:rsidP="004120F4">
            <w:r>
              <w:t>POA</w:t>
            </w:r>
          </w:p>
        </w:tc>
        <w:tc>
          <w:tcPr>
            <w:tcW w:w="1591" w:type="dxa"/>
          </w:tcPr>
          <w:p w14:paraId="6271E64B" w14:textId="77777777" w:rsidR="00B820D5" w:rsidRDefault="00B820D5" w:rsidP="004120F4"/>
        </w:tc>
      </w:tr>
      <w:tr w:rsidR="00B820D5" w:rsidRPr="0011341A" w14:paraId="2E749CE4" w14:textId="09CC142C" w:rsidTr="00C93598">
        <w:trPr>
          <w:trHeight w:val="716"/>
        </w:trPr>
        <w:tc>
          <w:tcPr>
            <w:tcW w:w="2867" w:type="dxa"/>
            <w:vMerge/>
          </w:tcPr>
          <w:p w14:paraId="52F0F3D0" w14:textId="77777777" w:rsidR="00B820D5" w:rsidRDefault="00B820D5" w:rsidP="004120F4">
            <w:pPr>
              <w:rPr>
                <w:i/>
                <w:iCs/>
              </w:rPr>
            </w:pPr>
          </w:p>
        </w:tc>
        <w:tc>
          <w:tcPr>
            <w:tcW w:w="3051" w:type="dxa"/>
          </w:tcPr>
          <w:p w14:paraId="00C64DAE" w14:textId="77777777" w:rsidR="00B820D5" w:rsidRPr="00977C23" w:rsidRDefault="00B820D5" w:rsidP="004120F4">
            <w:r>
              <w:t>Increase dedicated resources in POA</w:t>
            </w:r>
          </w:p>
        </w:tc>
        <w:tc>
          <w:tcPr>
            <w:tcW w:w="2157" w:type="dxa"/>
          </w:tcPr>
          <w:p w14:paraId="529EBAE4" w14:textId="77777777" w:rsidR="00B820D5" w:rsidRPr="00977C23" w:rsidRDefault="00B820D5" w:rsidP="004120F4">
            <w:r>
              <w:t>Management, POA</w:t>
            </w:r>
          </w:p>
        </w:tc>
        <w:tc>
          <w:tcPr>
            <w:tcW w:w="1591" w:type="dxa"/>
          </w:tcPr>
          <w:p w14:paraId="752E90CE" w14:textId="77777777" w:rsidR="00B820D5" w:rsidRPr="00977C23" w:rsidRDefault="00B820D5" w:rsidP="004120F4"/>
        </w:tc>
      </w:tr>
    </w:tbl>
    <w:p w14:paraId="6B621D03" w14:textId="158C89C9" w:rsidR="00022344" w:rsidRPr="004120F4" w:rsidRDefault="00022344" w:rsidP="004120F4">
      <w:pPr>
        <w:rPr>
          <w:b/>
          <w:bCs/>
        </w:rPr>
      </w:pPr>
    </w:p>
    <w:p w14:paraId="3DFE8560" w14:textId="684F8ACA" w:rsidR="00CB4DE5" w:rsidRPr="00CB4DE5" w:rsidRDefault="00CB4DE5" w:rsidP="00CB4DE5"/>
    <w:p w14:paraId="1CE539F2" w14:textId="24059B12" w:rsidR="00CB4DE5" w:rsidRPr="00022344" w:rsidRDefault="00CB4DE5" w:rsidP="00EE32E6">
      <w:pPr>
        <w:tabs>
          <w:tab w:val="left" w:pos="930"/>
        </w:tabs>
      </w:pPr>
    </w:p>
    <w:p w14:paraId="089347D6" w14:textId="59575515" w:rsidR="00CB4DE5" w:rsidRPr="00CB4DE5" w:rsidRDefault="00CB4DE5" w:rsidP="00CB4DE5">
      <w:pPr>
        <w:tabs>
          <w:tab w:val="left" w:pos="930"/>
        </w:tabs>
      </w:pPr>
    </w:p>
    <w:p w14:paraId="0D1243A2" w14:textId="10B967E2" w:rsidR="00CB4DE5" w:rsidRPr="0011341A" w:rsidRDefault="00CB4DE5" w:rsidP="00CB4DE5"/>
    <w:p w14:paraId="33D30E43" w14:textId="42D6ECEB" w:rsidR="00CB4DE5" w:rsidRPr="00CB4DE5" w:rsidRDefault="00CB4DE5" w:rsidP="00CB4DE5"/>
    <w:p w14:paraId="4A4BBF46" w14:textId="56F5BA58" w:rsidR="00CB4DE5" w:rsidRPr="00CB4DE5" w:rsidRDefault="00CB4DE5" w:rsidP="00CB4DE5"/>
    <w:p w14:paraId="0BC32AEF" w14:textId="77777777" w:rsidR="00CB4DE5" w:rsidRPr="00CB4DE5" w:rsidRDefault="00CB4DE5" w:rsidP="00CB4DE5"/>
    <w:sectPr w:rsidR="00CB4DE5" w:rsidRPr="00CB4D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E843" w14:textId="77777777" w:rsidR="00D04331" w:rsidRDefault="00D04331" w:rsidP="00E843DB">
      <w:pPr>
        <w:spacing w:after="0" w:line="240" w:lineRule="auto"/>
      </w:pPr>
      <w:r>
        <w:separator/>
      </w:r>
    </w:p>
  </w:endnote>
  <w:endnote w:type="continuationSeparator" w:id="0">
    <w:p w14:paraId="189F700F" w14:textId="77777777" w:rsidR="00D04331" w:rsidRDefault="00D04331" w:rsidP="00E8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83722"/>
      <w:docPartObj>
        <w:docPartGallery w:val="Page Numbers (Bottom of Page)"/>
        <w:docPartUnique/>
      </w:docPartObj>
    </w:sdtPr>
    <w:sdtEndPr/>
    <w:sdtContent>
      <w:p w14:paraId="42FF699F" w14:textId="461F3C26" w:rsidR="00022344" w:rsidRDefault="00022344">
        <w:pPr>
          <w:pStyle w:val="Bunntekst"/>
          <w:jc w:val="right"/>
        </w:pPr>
        <w:r>
          <w:fldChar w:fldCharType="begin"/>
        </w:r>
        <w:r>
          <w:instrText>PAGE   \* MERGEFORMAT</w:instrText>
        </w:r>
        <w:r>
          <w:fldChar w:fldCharType="separate"/>
        </w:r>
        <w:r>
          <w:t>2</w:t>
        </w:r>
        <w:r>
          <w:fldChar w:fldCharType="end"/>
        </w:r>
      </w:p>
    </w:sdtContent>
  </w:sdt>
  <w:p w14:paraId="2EA47296" w14:textId="77777777" w:rsidR="00022344" w:rsidRDefault="000223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37CA" w14:textId="77777777" w:rsidR="00D04331" w:rsidRDefault="00D04331" w:rsidP="00E843DB">
      <w:pPr>
        <w:spacing w:after="0" w:line="240" w:lineRule="auto"/>
      </w:pPr>
      <w:r>
        <w:separator/>
      </w:r>
    </w:p>
  </w:footnote>
  <w:footnote w:type="continuationSeparator" w:id="0">
    <w:p w14:paraId="51EC0EB1" w14:textId="77777777" w:rsidR="00D04331" w:rsidRDefault="00D04331" w:rsidP="00E84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EB5"/>
    <w:multiLevelType w:val="hybridMultilevel"/>
    <w:tmpl w:val="C426802E"/>
    <w:lvl w:ilvl="0" w:tplc="98B6FB70">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2E4D7C"/>
    <w:multiLevelType w:val="hybridMultilevel"/>
    <w:tmpl w:val="C9EC0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CE7105"/>
    <w:multiLevelType w:val="hybridMultilevel"/>
    <w:tmpl w:val="E8189BB4"/>
    <w:lvl w:ilvl="0" w:tplc="A7D40E3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FDD06CE"/>
    <w:multiLevelType w:val="hybridMultilevel"/>
    <w:tmpl w:val="84089FAE"/>
    <w:lvl w:ilvl="0" w:tplc="D70EDE30">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560402">
    <w:abstractNumId w:val="1"/>
  </w:num>
  <w:num w:numId="2" w16cid:durableId="1301883802">
    <w:abstractNumId w:val="2"/>
  </w:num>
  <w:num w:numId="3" w16cid:durableId="1274745850">
    <w:abstractNumId w:val="3"/>
  </w:num>
  <w:num w:numId="4" w16cid:durableId="82644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4A"/>
    <w:rsid w:val="00022344"/>
    <w:rsid w:val="00026753"/>
    <w:rsid w:val="00074602"/>
    <w:rsid w:val="00076779"/>
    <w:rsid w:val="000920F1"/>
    <w:rsid w:val="000A0CF7"/>
    <w:rsid w:val="000B1292"/>
    <w:rsid w:val="000B154D"/>
    <w:rsid w:val="000B2450"/>
    <w:rsid w:val="000D2452"/>
    <w:rsid w:val="000E3D93"/>
    <w:rsid w:val="000E5FCA"/>
    <w:rsid w:val="000F2DD5"/>
    <w:rsid w:val="000F4175"/>
    <w:rsid w:val="00102882"/>
    <w:rsid w:val="0011341A"/>
    <w:rsid w:val="0012336D"/>
    <w:rsid w:val="0012491F"/>
    <w:rsid w:val="00130A8D"/>
    <w:rsid w:val="00137D76"/>
    <w:rsid w:val="00144391"/>
    <w:rsid w:val="00162863"/>
    <w:rsid w:val="00175C24"/>
    <w:rsid w:val="001800A4"/>
    <w:rsid w:val="00192605"/>
    <w:rsid w:val="001950CB"/>
    <w:rsid w:val="001B18BB"/>
    <w:rsid w:val="001C143D"/>
    <w:rsid w:val="001D202A"/>
    <w:rsid w:val="001D4C23"/>
    <w:rsid w:val="001D7B3A"/>
    <w:rsid w:val="001E7C48"/>
    <w:rsid w:val="001F3137"/>
    <w:rsid w:val="00202E34"/>
    <w:rsid w:val="002049A0"/>
    <w:rsid w:val="00205AA4"/>
    <w:rsid w:val="00206082"/>
    <w:rsid w:val="002274E8"/>
    <w:rsid w:val="00227EDC"/>
    <w:rsid w:val="00240C89"/>
    <w:rsid w:val="00250D22"/>
    <w:rsid w:val="00273AA9"/>
    <w:rsid w:val="002844D4"/>
    <w:rsid w:val="0028667F"/>
    <w:rsid w:val="0029610F"/>
    <w:rsid w:val="002A28F0"/>
    <w:rsid w:val="002D2FA0"/>
    <w:rsid w:val="002F1810"/>
    <w:rsid w:val="002F30F8"/>
    <w:rsid w:val="002F7563"/>
    <w:rsid w:val="0032146C"/>
    <w:rsid w:val="00332D14"/>
    <w:rsid w:val="00362D01"/>
    <w:rsid w:val="00374DB6"/>
    <w:rsid w:val="00393DD4"/>
    <w:rsid w:val="003A226F"/>
    <w:rsid w:val="003E0435"/>
    <w:rsid w:val="003E24AB"/>
    <w:rsid w:val="003F2192"/>
    <w:rsid w:val="00410CD7"/>
    <w:rsid w:val="00410D27"/>
    <w:rsid w:val="004120F4"/>
    <w:rsid w:val="00413B02"/>
    <w:rsid w:val="00417640"/>
    <w:rsid w:val="0044533C"/>
    <w:rsid w:val="00462C08"/>
    <w:rsid w:val="004B187B"/>
    <w:rsid w:val="004C4791"/>
    <w:rsid w:val="004D47BC"/>
    <w:rsid w:val="004D74F6"/>
    <w:rsid w:val="004E04F2"/>
    <w:rsid w:val="00504B76"/>
    <w:rsid w:val="00514FE1"/>
    <w:rsid w:val="0053206E"/>
    <w:rsid w:val="00537B47"/>
    <w:rsid w:val="0054626C"/>
    <w:rsid w:val="00563E90"/>
    <w:rsid w:val="00576985"/>
    <w:rsid w:val="005831D4"/>
    <w:rsid w:val="00597863"/>
    <w:rsid w:val="005A0F4E"/>
    <w:rsid w:val="005B3C33"/>
    <w:rsid w:val="005B6FF6"/>
    <w:rsid w:val="005E50DA"/>
    <w:rsid w:val="00603F58"/>
    <w:rsid w:val="006056C2"/>
    <w:rsid w:val="0061270B"/>
    <w:rsid w:val="00614D71"/>
    <w:rsid w:val="00620839"/>
    <w:rsid w:val="0064459A"/>
    <w:rsid w:val="0065786E"/>
    <w:rsid w:val="00695A71"/>
    <w:rsid w:val="006B1769"/>
    <w:rsid w:val="00717E0B"/>
    <w:rsid w:val="00730FD2"/>
    <w:rsid w:val="00745F09"/>
    <w:rsid w:val="00764B9E"/>
    <w:rsid w:val="007B0583"/>
    <w:rsid w:val="007B1A93"/>
    <w:rsid w:val="007B39E5"/>
    <w:rsid w:val="007E496B"/>
    <w:rsid w:val="007F0075"/>
    <w:rsid w:val="00803ED1"/>
    <w:rsid w:val="0088627A"/>
    <w:rsid w:val="00897066"/>
    <w:rsid w:val="008A47D7"/>
    <w:rsid w:val="008A63CC"/>
    <w:rsid w:val="008B063C"/>
    <w:rsid w:val="008C5F54"/>
    <w:rsid w:val="008C6CF7"/>
    <w:rsid w:val="008D2533"/>
    <w:rsid w:val="008E17D9"/>
    <w:rsid w:val="008F01A2"/>
    <w:rsid w:val="009511C0"/>
    <w:rsid w:val="009622DA"/>
    <w:rsid w:val="0096334F"/>
    <w:rsid w:val="00977C23"/>
    <w:rsid w:val="00980D5C"/>
    <w:rsid w:val="0098499C"/>
    <w:rsid w:val="00990257"/>
    <w:rsid w:val="00994857"/>
    <w:rsid w:val="009956BC"/>
    <w:rsid w:val="00997D15"/>
    <w:rsid w:val="009B5CAA"/>
    <w:rsid w:val="009D0576"/>
    <w:rsid w:val="009D626F"/>
    <w:rsid w:val="009F6163"/>
    <w:rsid w:val="00A20688"/>
    <w:rsid w:val="00A22781"/>
    <w:rsid w:val="00A23E99"/>
    <w:rsid w:val="00A830DB"/>
    <w:rsid w:val="00A91259"/>
    <w:rsid w:val="00A96553"/>
    <w:rsid w:val="00A97E8A"/>
    <w:rsid w:val="00A97EA5"/>
    <w:rsid w:val="00AF6D4D"/>
    <w:rsid w:val="00B07D55"/>
    <w:rsid w:val="00B17FAD"/>
    <w:rsid w:val="00B23641"/>
    <w:rsid w:val="00B36750"/>
    <w:rsid w:val="00B5770D"/>
    <w:rsid w:val="00B71EDB"/>
    <w:rsid w:val="00B74028"/>
    <w:rsid w:val="00B820D5"/>
    <w:rsid w:val="00BA18C2"/>
    <w:rsid w:val="00BA31F4"/>
    <w:rsid w:val="00BB77C6"/>
    <w:rsid w:val="00BC38E6"/>
    <w:rsid w:val="00BC6725"/>
    <w:rsid w:val="00BD5D8C"/>
    <w:rsid w:val="00BE47D7"/>
    <w:rsid w:val="00C03BA6"/>
    <w:rsid w:val="00C11792"/>
    <w:rsid w:val="00C232FD"/>
    <w:rsid w:val="00C35E1E"/>
    <w:rsid w:val="00C93598"/>
    <w:rsid w:val="00CB4DE5"/>
    <w:rsid w:val="00CF713C"/>
    <w:rsid w:val="00D04331"/>
    <w:rsid w:val="00D0640B"/>
    <w:rsid w:val="00D52861"/>
    <w:rsid w:val="00D534BA"/>
    <w:rsid w:val="00D54A04"/>
    <w:rsid w:val="00D7423C"/>
    <w:rsid w:val="00DB2983"/>
    <w:rsid w:val="00DB469F"/>
    <w:rsid w:val="00DB4991"/>
    <w:rsid w:val="00DC3B63"/>
    <w:rsid w:val="00E23C64"/>
    <w:rsid w:val="00E4217A"/>
    <w:rsid w:val="00E843DB"/>
    <w:rsid w:val="00E87772"/>
    <w:rsid w:val="00E90287"/>
    <w:rsid w:val="00E93005"/>
    <w:rsid w:val="00E94FD1"/>
    <w:rsid w:val="00EA24BA"/>
    <w:rsid w:val="00EB7706"/>
    <w:rsid w:val="00ED6278"/>
    <w:rsid w:val="00EE12E0"/>
    <w:rsid w:val="00EE32E6"/>
    <w:rsid w:val="00EF1D53"/>
    <w:rsid w:val="00EF51F7"/>
    <w:rsid w:val="00F01D4E"/>
    <w:rsid w:val="00F10C4A"/>
    <w:rsid w:val="00F13326"/>
    <w:rsid w:val="00F14D1A"/>
    <w:rsid w:val="00F50887"/>
    <w:rsid w:val="00F51BE3"/>
    <w:rsid w:val="00F536AF"/>
    <w:rsid w:val="00F61996"/>
    <w:rsid w:val="00F75AA3"/>
    <w:rsid w:val="00F8161A"/>
    <w:rsid w:val="00FC27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DB46"/>
  <w15:chartTrackingRefBased/>
  <w15:docId w15:val="{C2D8D321-5900-4DCD-8173-32E780C2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1A"/>
  </w:style>
  <w:style w:type="paragraph" w:styleId="Overskrift1">
    <w:name w:val="heading 1"/>
    <w:basedOn w:val="Normal"/>
    <w:link w:val="Overskrift1Tegn"/>
    <w:uiPriority w:val="9"/>
    <w:qFormat/>
    <w:rsid w:val="00EF51F7"/>
    <w:pPr>
      <w:widowControl w:val="0"/>
      <w:autoSpaceDE w:val="0"/>
      <w:autoSpaceDN w:val="0"/>
      <w:spacing w:before="43" w:after="0" w:line="240" w:lineRule="auto"/>
      <w:ind w:left="120"/>
      <w:outlineLvl w:val="0"/>
    </w:pPr>
    <w:rPr>
      <w:rFonts w:ascii="Calibri" w:eastAsia="Calibri" w:hAnsi="Calibri" w:cs="Calibri"/>
      <w:b/>
      <w:bCs/>
      <w:sz w:val="28"/>
      <w:szCs w:val="28"/>
      <w:lang w:eastAsia="nb" w:bidi="n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1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10C4A"/>
    <w:pPr>
      <w:ind w:left="720"/>
      <w:contextualSpacing/>
    </w:pPr>
  </w:style>
  <w:style w:type="paragraph" w:customStyle="1" w:styleId="TableParagraph">
    <w:name w:val="Table Paragraph"/>
    <w:basedOn w:val="Normal"/>
    <w:uiPriority w:val="1"/>
    <w:qFormat/>
    <w:rsid w:val="00240C89"/>
    <w:pPr>
      <w:widowControl w:val="0"/>
      <w:autoSpaceDE w:val="0"/>
      <w:autoSpaceDN w:val="0"/>
      <w:spacing w:after="0" w:line="240" w:lineRule="auto"/>
    </w:pPr>
    <w:rPr>
      <w:rFonts w:ascii="Calibri" w:eastAsia="Calibri" w:hAnsi="Calibri" w:cs="Calibri"/>
      <w:lang w:eastAsia="nb" w:bidi="nb"/>
    </w:rPr>
  </w:style>
  <w:style w:type="paragraph" w:styleId="Topptekst">
    <w:name w:val="header"/>
    <w:basedOn w:val="Normal"/>
    <w:link w:val="TopptekstTegn"/>
    <w:uiPriority w:val="99"/>
    <w:unhideWhenUsed/>
    <w:rsid w:val="00022344"/>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22344"/>
  </w:style>
  <w:style w:type="paragraph" w:styleId="Bunntekst">
    <w:name w:val="footer"/>
    <w:basedOn w:val="Normal"/>
    <w:link w:val="BunntekstTegn"/>
    <w:uiPriority w:val="99"/>
    <w:unhideWhenUsed/>
    <w:rsid w:val="00022344"/>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22344"/>
  </w:style>
  <w:style w:type="paragraph" w:styleId="Brdtekst">
    <w:name w:val="Body Text"/>
    <w:basedOn w:val="Normal"/>
    <w:link w:val="BrdtekstTegn"/>
    <w:uiPriority w:val="1"/>
    <w:qFormat/>
    <w:rsid w:val="001950CB"/>
    <w:pPr>
      <w:widowControl w:val="0"/>
      <w:autoSpaceDE w:val="0"/>
      <w:autoSpaceDN w:val="0"/>
      <w:spacing w:before="4" w:after="0" w:line="240" w:lineRule="auto"/>
    </w:pPr>
    <w:rPr>
      <w:rFonts w:ascii="Calibri" w:eastAsia="Calibri" w:hAnsi="Calibri" w:cs="Calibri"/>
      <w:lang w:eastAsia="nb" w:bidi="nb"/>
    </w:rPr>
  </w:style>
  <w:style w:type="character" w:customStyle="1" w:styleId="BrdtekstTegn">
    <w:name w:val="Brødtekst Tegn"/>
    <w:basedOn w:val="Standardskriftforavsnitt"/>
    <w:link w:val="Brdtekst"/>
    <w:uiPriority w:val="1"/>
    <w:rsid w:val="001950CB"/>
    <w:rPr>
      <w:rFonts w:ascii="Calibri" w:eastAsia="Calibri" w:hAnsi="Calibri" w:cs="Calibri"/>
      <w:lang w:val="en-GB" w:eastAsia="nb" w:bidi="nb"/>
    </w:rPr>
  </w:style>
  <w:style w:type="character" w:styleId="Merknadsreferanse">
    <w:name w:val="annotation reference"/>
    <w:basedOn w:val="Standardskriftforavsnitt"/>
    <w:uiPriority w:val="99"/>
    <w:semiHidden/>
    <w:unhideWhenUsed/>
    <w:rsid w:val="001950CB"/>
    <w:rPr>
      <w:sz w:val="16"/>
      <w:szCs w:val="16"/>
    </w:rPr>
  </w:style>
  <w:style w:type="paragraph" w:styleId="Merknadstekst">
    <w:name w:val="annotation text"/>
    <w:basedOn w:val="Normal"/>
    <w:link w:val="MerknadstekstTegn"/>
    <w:uiPriority w:val="99"/>
    <w:unhideWhenUsed/>
    <w:rsid w:val="001950CB"/>
    <w:pPr>
      <w:widowControl w:val="0"/>
      <w:autoSpaceDE w:val="0"/>
      <w:autoSpaceDN w:val="0"/>
      <w:spacing w:after="0" w:line="240" w:lineRule="auto"/>
    </w:pPr>
    <w:rPr>
      <w:rFonts w:ascii="Calibri" w:eastAsia="Calibri" w:hAnsi="Calibri" w:cs="Calibri"/>
      <w:sz w:val="20"/>
      <w:szCs w:val="20"/>
      <w:lang w:eastAsia="nb" w:bidi="nb"/>
    </w:rPr>
  </w:style>
  <w:style w:type="character" w:customStyle="1" w:styleId="MerknadstekstTegn">
    <w:name w:val="Merknadstekst Tegn"/>
    <w:basedOn w:val="Standardskriftforavsnitt"/>
    <w:link w:val="Merknadstekst"/>
    <w:uiPriority w:val="99"/>
    <w:rsid w:val="001950CB"/>
    <w:rPr>
      <w:rFonts w:ascii="Calibri" w:eastAsia="Calibri" w:hAnsi="Calibri" w:cs="Calibri"/>
      <w:sz w:val="20"/>
      <w:szCs w:val="20"/>
      <w:lang w:val="en-GB" w:eastAsia="nb" w:bidi="nb"/>
    </w:rPr>
  </w:style>
  <w:style w:type="character" w:customStyle="1" w:styleId="Overskrift1Tegn">
    <w:name w:val="Overskrift 1 Tegn"/>
    <w:basedOn w:val="Standardskriftforavsnitt"/>
    <w:link w:val="Overskrift1"/>
    <w:uiPriority w:val="9"/>
    <w:rsid w:val="00EF51F7"/>
    <w:rPr>
      <w:rFonts w:ascii="Calibri" w:eastAsia="Calibri" w:hAnsi="Calibri" w:cs="Calibri"/>
      <w:b/>
      <w:bCs/>
      <w:sz w:val="28"/>
      <w:szCs w:val="28"/>
      <w:lang w:val="en-GB" w:eastAsia="nb" w:bidi="nb"/>
    </w:rPr>
  </w:style>
  <w:style w:type="paragraph" w:styleId="Kommentaremne">
    <w:name w:val="annotation subject"/>
    <w:basedOn w:val="Merknadstekst"/>
    <w:next w:val="Merknadstekst"/>
    <w:link w:val="KommentaremneTegn"/>
    <w:uiPriority w:val="99"/>
    <w:semiHidden/>
    <w:unhideWhenUsed/>
    <w:rsid w:val="00F01D4E"/>
    <w:pPr>
      <w:widowControl/>
      <w:autoSpaceDE/>
      <w:autoSpaceDN/>
      <w:spacing w:after="160"/>
    </w:pPr>
    <w:rPr>
      <w:rFonts w:asciiTheme="minorHAnsi" w:eastAsiaTheme="minorHAnsi" w:hAnsiTheme="minorHAnsi" w:cstheme="minorBidi"/>
      <w:b/>
      <w:bCs/>
      <w:lang w:eastAsia="en-US" w:bidi="ar-SA"/>
    </w:rPr>
  </w:style>
  <w:style w:type="character" w:customStyle="1" w:styleId="KommentaremneTegn">
    <w:name w:val="Kommentaremne Tegn"/>
    <w:basedOn w:val="MerknadstekstTegn"/>
    <w:link w:val="Kommentaremne"/>
    <w:uiPriority w:val="99"/>
    <w:semiHidden/>
    <w:rsid w:val="00F01D4E"/>
    <w:rPr>
      <w:rFonts w:ascii="Calibri" w:eastAsia="Calibri" w:hAnsi="Calibri" w:cs="Calibri"/>
      <w:b/>
      <w:bCs/>
      <w:sz w:val="20"/>
      <w:szCs w:val="20"/>
      <w:lang w:val="en-GB" w:eastAsia="nb" w:bidi="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1093</Words>
  <Characters>5797</Characters>
  <Application>Microsoft Office Word</Application>
  <DocSecurity>4</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Hjertquist</dc:creator>
  <cp:keywords/>
  <dc:description/>
  <cp:lastModifiedBy>Mette Risbråthe</cp:lastModifiedBy>
  <cp:revision>2</cp:revision>
  <cp:lastPrinted>2023-08-15T06:34:00Z</cp:lastPrinted>
  <dcterms:created xsi:type="dcterms:W3CDTF">2023-08-16T08:53:00Z</dcterms:created>
  <dcterms:modified xsi:type="dcterms:W3CDTF">2023-08-16T08:53:00Z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2023-03-27T08:14:11Z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f748cbf2-1013-48a3-a1c2-445257e8b580</vt:lpwstr>
  </property>
  <property fmtid="{D5CDD505-2E9C-101B-9397-08002B2CF9AE}" pid="8" name="MSIP_Label_d0484126-3486-41a9-802e-7f1e2277276c_ContentBits">
    <vt:lpwstr>0</vt:lpwstr>
  </property>
</Properties>
</file>